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sz w:val="32"/>
        </w:rPr>
      </w:pPr>
      <w:r>
        <w:rPr>
          <w:rFonts w:ascii="Arial" w:hAnsi="Arial" w:cs="Arial"/>
          <w:sz w:val="32"/>
        </w:rPr>
        <w:t>Windsor Park CE Middle School - 2018-19 Year 7 ‘Catch-up’</w:t>
      </w:r>
    </w:p>
    <w:p>
      <w:pPr>
        <w:rPr>
          <w:rFonts w:ascii="Arial" w:hAnsi="Arial" w:cs="Arial"/>
        </w:rPr>
      </w:pPr>
    </w:p>
    <w:p>
      <w:pPr>
        <w:rPr>
          <w:rFonts w:ascii="Arial" w:hAnsi="Arial" w:cs="Arial"/>
        </w:rPr>
      </w:pPr>
      <w:r>
        <w:rPr>
          <w:rFonts w:ascii="Arial" w:hAnsi="Arial" w:cs="Arial"/>
        </w:rPr>
        <w:t>Windsor Park Middle School will receive an additional £500 for each pupil in Year 7 who did not achieve ‘Expected Standard’ in Reading and/or Maths at the end of KS2.</w:t>
      </w:r>
    </w:p>
    <w:p>
      <w:pPr>
        <w:rPr>
          <w:rFonts w:ascii="Arial" w:hAnsi="Arial" w:cs="Arial"/>
        </w:rPr>
      </w:pPr>
    </w:p>
    <w:p>
      <w:pPr>
        <w:pStyle w:val="ListParagraph"/>
        <w:numPr>
          <w:ilvl w:val="0"/>
          <w:numId w:val="2"/>
        </w:numPr>
        <w:rPr>
          <w:rFonts w:ascii="Arial" w:hAnsi="Arial" w:cs="Arial"/>
        </w:rPr>
      </w:pPr>
      <w:r>
        <w:rPr>
          <w:rFonts w:ascii="Arial" w:hAnsi="Arial" w:cs="Arial"/>
        </w:rPr>
        <w:t>In 2018, 75% of students nationally achieved Expected Standard in Reading.</w:t>
      </w:r>
    </w:p>
    <w:p>
      <w:pPr>
        <w:pStyle w:val="ListParagraph"/>
        <w:numPr>
          <w:ilvl w:val="0"/>
          <w:numId w:val="2"/>
        </w:numPr>
        <w:rPr>
          <w:rFonts w:ascii="Arial" w:hAnsi="Arial" w:cs="Arial"/>
        </w:rPr>
      </w:pPr>
      <w:r>
        <w:rPr>
          <w:rFonts w:ascii="Arial" w:hAnsi="Arial" w:cs="Arial"/>
        </w:rPr>
        <w:t>In 2018 79% of the WPMS cohort achieved Expected Standard in Reading.</w:t>
      </w:r>
    </w:p>
    <w:p>
      <w:pPr>
        <w:pStyle w:val="ListParagraph"/>
        <w:numPr>
          <w:ilvl w:val="0"/>
          <w:numId w:val="2"/>
        </w:numPr>
        <w:rPr>
          <w:rFonts w:ascii="Arial" w:hAnsi="Arial" w:cs="Arial"/>
        </w:rPr>
      </w:pPr>
      <w:r>
        <w:rPr>
          <w:rFonts w:ascii="Arial" w:hAnsi="Arial" w:cs="Arial"/>
        </w:rPr>
        <w:t>In 2018, 76% of students nationally achieved Expected Standard in Maths.</w:t>
      </w:r>
    </w:p>
    <w:p>
      <w:pPr>
        <w:pStyle w:val="ListParagraph"/>
        <w:numPr>
          <w:ilvl w:val="0"/>
          <w:numId w:val="2"/>
        </w:numPr>
        <w:rPr>
          <w:rFonts w:ascii="Arial" w:hAnsi="Arial" w:cs="Arial"/>
        </w:rPr>
      </w:pPr>
      <w:r>
        <w:rPr>
          <w:rFonts w:ascii="Arial" w:hAnsi="Arial" w:cs="Arial"/>
        </w:rPr>
        <w:t>In 2018 81% of the WPMS cohort achieved Expected Standard in Maths.</w:t>
      </w:r>
    </w:p>
    <w:p>
      <w:pPr>
        <w:rPr>
          <w:rFonts w:ascii="Arial" w:hAnsi="Arial" w:cs="Arial"/>
        </w:rPr>
      </w:pPr>
    </w:p>
    <w:p>
      <w:pPr>
        <w:rPr>
          <w:rFonts w:ascii="Arial" w:hAnsi="Arial" w:cs="Arial"/>
        </w:rPr>
      </w:pPr>
      <w:r>
        <w:rPr>
          <w:rFonts w:ascii="Arial" w:hAnsi="Arial" w:cs="Arial"/>
        </w:rPr>
        <w:t>Pupils who did not achieve the expected standard will receive extra support during year 7 to give them the best chance of ‘catching up’ and performing in line with Year 7 expectations.</w:t>
      </w:r>
    </w:p>
    <w:p>
      <w:pPr>
        <w:rPr>
          <w:rFonts w:ascii="Arial" w:hAnsi="Arial" w:cs="Arial"/>
        </w:rPr>
      </w:pPr>
    </w:p>
    <w:p>
      <w:pPr>
        <w:rPr>
          <w:rFonts w:ascii="Arial" w:hAnsi="Arial" w:cs="Arial"/>
        </w:rPr>
      </w:pPr>
      <w:r>
        <w:rPr>
          <w:rFonts w:ascii="Arial" w:hAnsi="Arial" w:cs="Arial"/>
        </w:rPr>
        <w:t>From 2018 tests, 19 pupils were below Expected Standard for Reading, 14 pupils were below Expected Standard for Maths and of these, 9 pupils were behind in both areas.</w:t>
      </w:r>
    </w:p>
    <w:p>
      <w:pPr>
        <w:rPr>
          <w:rFonts w:ascii="Arial" w:hAnsi="Arial" w:cs="Arial"/>
        </w:rPr>
      </w:pPr>
      <w:r>
        <w:rPr>
          <w:rFonts w:ascii="Arial" w:hAnsi="Arial" w:cs="Arial"/>
        </w:rPr>
        <w:t>Reading:</w:t>
      </w:r>
    </w:p>
    <w:p>
      <w:pPr>
        <w:rPr>
          <w:rFonts w:ascii="Arial" w:hAnsi="Arial" w:cs="Arial"/>
        </w:rPr>
      </w:pPr>
      <w:r>
        <w:rPr>
          <w:rFonts w:ascii="Arial" w:hAnsi="Arial" w:cs="Arial"/>
        </w:rPr>
        <w:t>Reading Tests: All Year 7 students are tested on Reading. The 14 catch-up students for Reading have an average Reading Age of 8 years 5 months. The catch-up students will be tested regularly through the school year on the areas that they did not fully achieve on in their KS2 Reading.  This is done by adapting the Key Stage 3 curriculum to incorporate the KS2 requirements in order to ‘bridge the gap’ in students’ knowledge.</w:t>
      </w:r>
    </w:p>
    <w:p>
      <w:pPr>
        <w:rPr>
          <w:rFonts w:ascii="Arial" w:hAnsi="Arial" w:cs="Arial"/>
        </w:rPr>
      </w:pPr>
      <w:r>
        <w:rPr>
          <w:rFonts w:ascii="Arial" w:hAnsi="Arial" w:cs="Arial"/>
        </w:rPr>
        <w:t>Accelerated Reader: All Windsor Park Middle School students are tested regularly on Accelerated Reader. Studies completed on Accelerated Reader (AR) show that students can produce up to two years’ reading age growth in just one year if students fully engage with the programme. AR monitors the Reading that pupils undertake as pupils take a quiz on each book read. Students will be assessed on AR every half term to measure progress. Using the initial test results, Form Tutors and English staff can help students select books that are challenging, but not too difficult to avoid causing frustration amongst students. Over the past two years, AR has helped to improve Literacy and Reading skills at WPMS and Reading now has a greater profile around the school. Use of Accelerated Reader at Windsor Park has improved the focus of all staff on promoting Literacy skills and has ensured that students are reading widely and often.</w:t>
      </w:r>
    </w:p>
    <w:p>
      <w:pPr>
        <w:rPr>
          <w:rFonts w:ascii="Arial" w:hAnsi="Arial" w:cs="Arial"/>
        </w:rPr>
      </w:pPr>
      <w:r>
        <w:rPr>
          <w:rFonts w:ascii="Arial" w:hAnsi="Arial" w:cs="Arial"/>
        </w:rPr>
        <w:t>Progress in English of our ‘catch up students’ is measured by AR and students sitting another KS2 Reading paper.  We also use GL to reinforce our judgements.</w:t>
      </w:r>
    </w:p>
    <w:p>
      <w:pPr>
        <w:rPr>
          <w:rFonts w:ascii="Arial" w:hAnsi="Arial" w:cs="Arial"/>
          <w:color w:val="FF0000"/>
        </w:rPr>
      </w:pPr>
    </w:p>
    <w:p>
      <w:pPr>
        <w:rPr>
          <w:rFonts w:ascii="Arial" w:hAnsi="Arial" w:cs="Arial"/>
        </w:rPr>
      </w:pPr>
      <w:r>
        <w:rPr>
          <w:rFonts w:ascii="Arial" w:hAnsi="Arial" w:cs="Arial"/>
        </w:rPr>
        <w:t>Maths:</w:t>
      </w:r>
    </w:p>
    <w:p>
      <w:pPr>
        <w:rPr>
          <w:rFonts w:ascii="Arial" w:hAnsi="Arial" w:cs="Arial"/>
        </w:rPr>
      </w:pPr>
      <w:r>
        <w:rPr>
          <w:rFonts w:ascii="Arial" w:hAnsi="Arial" w:cs="Arial"/>
        </w:rPr>
        <w:t>‘Catch up’ pupils in Year 7 have been timetabled to an extra Maths lesson per week with an experienced Maths teacher to cover areas of concern from the SAT paper gap analysis and any other areas that arise during Year 7.</w:t>
      </w:r>
    </w:p>
    <w:p>
      <w:pPr>
        <w:rPr>
          <w:rFonts w:ascii="Arial" w:hAnsi="Arial" w:cs="Arial"/>
        </w:rPr>
      </w:pPr>
      <w:r>
        <w:rPr>
          <w:rFonts w:ascii="Arial" w:hAnsi="Arial" w:cs="Arial"/>
        </w:rPr>
        <w:t>Progress will be assessed using our normal half termly judgements with pupils needing to achieve within the ‘Expected’ range (7.4 to 7.6) to be deemed as having caught up.  We will also look at GL testing to reinforce these judgements.</w:t>
      </w:r>
      <w:r>
        <w:rPr>
          <w:rFonts w:ascii="Arial" w:hAnsi="Arial" w:cs="Arial"/>
          <w:highlight w:val="yellow"/>
        </w:rPr>
        <w:br w:type="page"/>
      </w:r>
    </w:p>
    <w:p>
      <w:pPr>
        <w:rPr>
          <w:rFonts w:ascii="Arial" w:hAnsi="Arial" w:cs="Arial"/>
        </w:rPr>
      </w:pPr>
      <w:r>
        <w:rPr>
          <w:rFonts w:ascii="Arial" w:hAnsi="Arial" w:cs="Arial"/>
        </w:rPr>
        <w:t>Windsor Park CE Middle School – 2017-18 Year 7 ‘Catch-up’</w:t>
      </w:r>
    </w:p>
    <w:p>
      <w:pPr>
        <w:rPr>
          <w:rFonts w:ascii="Arial" w:hAnsi="Arial" w:cs="Arial"/>
        </w:rPr>
      </w:pPr>
      <w:r>
        <w:rPr>
          <w:rFonts w:ascii="Arial" w:hAnsi="Arial" w:cs="Arial"/>
        </w:rPr>
        <w:t>Progress Check:</w:t>
      </w:r>
    </w:p>
    <w:p>
      <w:pPr>
        <w:rPr>
          <w:rFonts w:ascii="Arial" w:hAnsi="Arial" w:cs="Arial"/>
        </w:rPr>
      </w:pPr>
    </w:p>
    <w:p>
      <w:pPr>
        <w:pStyle w:val="ListParagraph"/>
        <w:numPr>
          <w:ilvl w:val="0"/>
          <w:numId w:val="1"/>
        </w:numPr>
        <w:rPr>
          <w:rFonts w:ascii="Arial" w:hAnsi="Arial" w:cs="Arial"/>
        </w:rPr>
      </w:pPr>
      <w:r>
        <w:rPr>
          <w:rFonts w:ascii="Arial" w:hAnsi="Arial" w:cs="Arial"/>
        </w:rPr>
        <w:t>In 2017, 71% of students nationally achieved Expected Standard in Reading.</w:t>
      </w:r>
    </w:p>
    <w:p>
      <w:pPr>
        <w:pStyle w:val="ListParagraph"/>
        <w:numPr>
          <w:ilvl w:val="1"/>
          <w:numId w:val="1"/>
        </w:numPr>
        <w:rPr>
          <w:rFonts w:ascii="Arial" w:hAnsi="Arial" w:cs="Arial"/>
        </w:rPr>
      </w:pPr>
      <w:r>
        <w:rPr>
          <w:rFonts w:ascii="Arial" w:hAnsi="Arial" w:cs="Arial"/>
        </w:rPr>
        <w:t>In 2017 82% of the WPMS cohort achieved Expected Standard in Reading.</w:t>
      </w:r>
    </w:p>
    <w:p>
      <w:pPr>
        <w:pStyle w:val="ListParagraph"/>
        <w:numPr>
          <w:ilvl w:val="0"/>
          <w:numId w:val="1"/>
        </w:numPr>
        <w:rPr>
          <w:rFonts w:ascii="Arial" w:hAnsi="Arial" w:cs="Arial"/>
        </w:rPr>
      </w:pPr>
      <w:r>
        <w:rPr>
          <w:rFonts w:ascii="Arial" w:hAnsi="Arial" w:cs="Arial"/>
        </w:rPr>
        <w:t>In 2017, 75% of students nationally achieved Expected Standard in Maths.</w:t>
      </w:r>
    </w:p>
    <w:p>
      <w:pPr>
        <w:pStyle w:val="ListParagraph"/>
        <w:numPr>
          <w:ilvl w:val="1"/>
          <w:numId w:val="1"/>
        </w:numPr>
        <w:rPr>
          <w:rFonts w:ascii="Arial" w:hAnsi="Arial" w:cs="Arial"/>
        </w:rPr>
      </w:pPr>
      <w:r>
        <w:rPr>
          <w:rFonts w:ascii="Arial" w:hAnsi="Arial" w:cs="Arial"/>
        </w:rPr>
        <w:t>In 2017 87% of the WPMS cohort achieved Expected Standard in Maths.</w:t>
      </w:r>
    </w:p>
    <w:p>
      <w:pPr>
        <w:rPr>
          <w:rFonts w:ascii="Arial" w:hAnsi="Arial" w:cs="Arial"/>
        </w:rPr>
      </w:pPr>
    </w:p>
    <w:tbl>
      <w:tblPr>
        <w:tblStyle w:val="TableGrid"/>
        <w:tblW w:w="9058" w:type="dxa"/>
        <w:tblLook w:val="04A0" w:firstRow="1" w:lastRow="0" w:firstColumn="1" w:lastColumn="0" w:noHBand="0" w:noVBand="1"/>
      </w:tblPr>
      <w:tblGrid>
        <w:gridCol w:w="1973"/>
        <w:gridCol w:w="999"/>
        <w:gridCol w:w="910"/>
        <w:gridCol w:w="1397"/>
        <w:gridCol w:w="1398"/>
        <w:gridCol w:w="1398"/>
        <w:gridCol w:w="983"/>
      </w:tblGrid>
      <w:tr>
        <w:trPr>
          <w:trHeight w:val="457"/>
        </w:trPr>
        <w:tc>
          <w:tcPr>
            <w:tcW w:w="1973" w:type="dxa"/>
            <w:vAlign w:val="center"/>
          </w:tcPr>
          <w:p>
            <w:pPr>
              <w:jc w:val="center"/>
              <w:rPr>
                <w:rFonts w:ascii="Arial" w:hAnsi="Arial" w:cs="Arial"/>
              </w:rPr>
            </w:pPr>
          </w:p>
        </w:tc>
        <w:tc>
          <w:tcPr>
            <w:tcW w:w="999" w:type="dxa"/>
            <w:vAlign w:val="center"/>
          </w:tcPr>
          <w:p>
            <w:pPr>
              <w:jc w:val="center"/>
              <w:rPr>
                <w:rFonts w:ascii="Arial" w:hAnsi="Arial" w:cs="Arial"/>
                <w:sz w:val="18"/>
              </w:rPr>
            </w:pPr>
            <w:r>
              <w:rPr>
                <w:rFonts w:ascii="Arial" w:hAnsi="Arial" w:cs="Arial"/>
                <w:sz w:val="18"/>
              </w:rPr>
              <w:t>Number</w:t>
            </w:r>
          </w:p>
          <w:p>
            <w:pPr>
              <w:jc w:val="center"/>
              <w:rPr>
                <w:rFonts w:ascii="Arial" w:hAnsi="Arial" w:cs="Arial"/>
              </w:rPr>
            </w:pPr>
            <w:r>
              <w:rPr>
                <w:rFonts w:ascii="Arial" w:hAnsi="Arial" w:cs="Arial"/>
                <w:sz w:val="18"/>
              </w:rPr>
              <w:t>Of pupils</w:t>
            </w:r>
          </w:p>
        </w:tc>
        <w:tc>
          <w:tcPr>
            <w:tcW w:w="910" w:type="dxa"/>
            <w:vAlign w:val="center"/>
          </w:tcPr>
          <w:p>
            <w:pPr>
              <w:jc w:val="center"/>
              <w:rPr>
                <w:rFonts w:ascii="Arial" w:hAnsi="Arial" w:cs="Arial"/>
              </w:rPr>
            </w:pPr>
            <w:r>
              <w:rPr>
                <w:rFonts w:ascii="Arial" w:hAnsi="Arial" w:cs="Arial"/>
              </w:rPr>
              <w:t>Below 7.4</w:t>
            </w:r>
          </w:p>
        </w:tc>
        <w:tc>
          <w:tcPr>
            <w:tcW w:w="1397" w:type="dxa"/>
            <w:vAlign w:val="center"/>
          </w:tcPr>
          <w:p>
            <w:pPr>
              <w:jc w:val="center"/>
              <w:rPr>
                <w:rFonts w:ascii="Arial" w:hAnsi="Arial" w:cs="Arial"/>
              </w:rPr>
            </w:pPr>
            <w:r>
              <w:rPr>
                <w:rFonts w:ascii="Arial" w:hAnsi="Arial" w:cs="Arial"/>
              </w:rPr>
              <w:t>7.4</w:t>
            </w:r>
          </w:p>
        </w:tc>
        <w:tc>
          <w:tcPr>
            <w:tcW w:w="1398" w:type="dxa"/>
            <w:vAlign w:val="center"/>
          </w:tcPr>
          <w:p>
            <w:pPr>
              <w:jc w:val="center"/>
              <w:rPr>
                <w:rFonts w:ascii="Arial" w:hAnsi="Arial" w:cs="Arial"/>
              </w:rPr>
            </w:pPr>
            <w:r>
              <w:rPr>
                <w:rFonts w:ascii="Arial" w:hAnsi="Arial" w:cs="Arial"/>
              </w:rPr>
              <w:t>7.5</w:t>
            </w:r>
          </w:p>
        </w:tc>
        <w:tc>
          <w:tcPr>
            <w:tcW w:w="1398" w:type="dxa"/>
            <w:vAlign w:val="center"/>
          </w:tcPr>
          <w:p>
            <w:pPr>
              <w:jc w:val="center"/>
              <w:rPr>
                <w:rFonts w:ascii="Arial" w:hAnsi="Arial" w:cs="Arial"/>
              </w:rPr>
            </w:pPr>
            <w:r>
              <w:rPr>
                <w:rFonts w:ascii="Arial" w:hAnsi="Arial" w:cs="Arial"/>
              </w:rPr>
              <w:t>7.6</w:t>
            </w:r>
          </w:p>
        </w:tc>
        <w:tc>
          <w:tcPr>
            <w:tcW w:w="983" w:type="dxa"/>
            <w:vAlign w:val="center"/>
          </w:tcPr>
          <w:p>
            <w:pPr>
              <w:jc w:val="center"/>
              <w:rPr>
                <w:rFonts w:ascii="Arial" w:hAnsi="Arial" w:cs="Arial"/>
              </w:rPr>
            </w:pPr>
            <w:r>
              <w:rPr>
                <w:rFonts w:ascii="Arial" w:hAnsi="Arial" w:cs="Arial"/>
              </w:rPr>
              <w:t>Greater Depth</w:t>
            </w:r>
          </w:p>
        </w:tc>
      </w:tr>
      <w:tr>
        <w:trPr>
          <w:trHeight w:val="457"/>
        </w:trPr>
        <w:tc>
          <w:tcPr>
            <w:tcW w:w="1973" w:type="dxa"/>
            <w:vAlign w:val="center"/>
          </w:tcPr>
          <w:p>
            <w:pPr>
              <w:jc w:val="center"/>
              <w:rPr>
                <w:rFonts w:ascii="Arial" w:hAnsi="Arial" w:cs="Arial"/>
              </w:rPr>
            </w:pPr>
            <w:r>
              <w:rPr>
                <w:rFonts w:ascii="Arial" w:hAnsi="Arial" w:cs="Arial"/>
              </w:rPr>
              <w:t>Maths</w:t>
            </w:r>
          </w:p>
        </w:tc>
        <w:tc>
          <w:tcPr>
            <w:tcW w:w="999" w:type="dxa"/>
            <w:vAlign w:val="center"/>
          </w:tcPr>
          <w:p>
            <w:pPr>
              <w:jc w:val="center"/>
              <w:rPr>
                <w:rFonts w:ascii="Arial" w:hAnsi="Arial" w:cs="Arial"/>
              </w:rPr>
            </w:pPr>
            <w:r>
              <w:rPr>
                <w:rFonts w:ascii="Arial" w:hAnsi="Arial" w:cs="Arial"/>
              </w:rPr>
              <w:t>12</w:t>
            </w:r>
          </w:p>
        </w:tc>
        <w:tc>
          <w:tcPr>
            <w:tcW w:w="910" w:type="dxa"/>
            <w:vAlign w:val="center"/>
          </w:tcPr>
          <w:p>
            <w:pPr>
              <w:jc w:val="center"/>
              <w:rPr>
                <w:rFonts w:ascii="Arial" w:hAnsi="Arial" w:cs="Arial"/>
              </w:rPr>
            </w:pPr>
            <w:r>
              <w:rPr>
                <w:rFonts w:ascii="Arial" w:hAnsi="Arial" w:cs="Arial"/>
              </w:rPr>
              <w:t>2</w:t>
            </w:r>
          </w:p>
        </w:tc>
        <w:tc>
          <w:tcPr>
            <w:tcW w:w="1397" w:type="dxa"/>
            <w:vAlign w:val="center"/>
          </w:tcPr>
          <w:p>
            <w:pPr>
              <w:jc w:val="center"/>
              <w:rPr>
                <w:rFonts w:ascii="Arial" w:hAnsi="Arial" w:cs="Arial"/>
              </w:rPr>
            </w:pPr>
            <w:r>
              <w:rPr>
                <w:rFonts w:ascii="Arial" w:hAnsi="Arial" w:cs="Arial"/>
              </w:rPr>
              <w:t>4</w:t>
            </w:r>
          </w:p>
        </w:tc>
        <w:tc>
          <w:tcPr>
            <w:tcW w:w="1398" w:type="dxa"/>
            <w:vAlign w:val="center"/>
          </w:tcPr>
          <w:p>
            <w:pPr>
              <w:jc w:val="center"/>
              <w:rPr>
                <w:rFonts w:ascii="Arial" w:hAnsi="Arial" w:cs="Arial"/>
              </w:rPr>
            </w:pPr>
            <w:r>
              <w:rPr>
                <w:rFonts w:ascii="Arial" w:hAnsi="Arial" w:cs="Arial"/>
              </w:rPr>
              <w:t>3</w:t>
            </w:r>
          </w:p>
        </w:tc>
        <w:tc>
          <w:tcPr>
            <w:tcW w:w="1398" w:type="dxa"/>
            <w:vAlign w:val="center"/>
          </w:tcPr>
          <w:p>
            <w:pPr>
              <w:jc w:val="center"/>
              <w:rPr>
                <w:rFonts w:ascii="Arial" w:hAnsi="Arial" w:cs="Arial"/>
              </w:rPr>
            </w:pPr>
            <w:r>
              <w:rPr>
                <w:rFonts w:ascii="Arial" w:hAnsi="Arial" w:cs="Arial"/>
              </w:rPr>
              <w:t>3</w:t>
            </w:r>
          </w:p>
        </w:tc>
        <w:tc>
          <w:tcPr>
            <w:tcW w:w="983" w:type="dxa"/>
            <w:vAlign w:val="center"/>
          </w:tcPr>
          <w:p>
            <w:pPr>
              <w:jc w:val="center"/>
              <w:rPr>
                <w:rFonts w:ascii="Arial" w:hAnsi="Arial" w:cs="Arial"/>
              </w:rPr>
            </w:pPr>
          </w:p>
        </w:tc>
      </w:tr>
    </w:tbl>
    <w:p>
      <w:pPr>
        <w:rPr>
          <w:rFonts w:ascii="Arial" w:hAnsi="Arial" w:cs="Arial"/>
          <w:sz w:val="16"/>
        </w:rPr>
      </w:pPr>
      <w:r>
        <w:rPr>
          <w:rFonts w:ascii="Arial" w:hAnsi="Arial" w:cs="Arial"/>
          <w:sz w:val="16"/>
        </w:rPr>
        <w:t>Number of pupils relates to the number of pupils who were below national standard at KS2 who were on roll at Windsor Park when progress judgements were made in Y7.</w:t>
      </w:r>
    </w:p>
    <w:p>
      <w:pPr>
        <w:rPr>
          <w:rFonts w:ascii="Arial" w:hAnsi="Arial" w:cs="Arial"/>
        </w:rPr>
      </w:pPr>
    </w:p>
    <w:p>
      <w:pPr>
        <w:rPr>
          <w:rFonts w:ascii="Arial" w:hAnsi="Arial" w:cs="Arial"/>
        </w:rPr>
      </w:pPr>
      <w:r>
        <w:rPr>
          <w:rFonts w:ascii="Arial" w:hAnsi="Arial" w:cs="Arial"/>
        </w:rPr>
        <w:t>Progress will be assessed using our normal half termly judgements with pupils being needing to achieve within the ‘Expected’ range (7.4 to 7.6) to be deemed as managing to have caught up.  We will also look at GL testing to reinforce these judgements</w:t>
      </w:r>
    </w:p>
    <w:p>
      <w:pPr>
        <w:rPr>
          <w:rFonts w:ascii="Arial" w:hAnsi="Arial" w:cs="Arial"/>
        </w:rPr>
      </w:pPr>
      <w:r>
        <w:rPr>
          <w:rFonts w:ascii="Arial" w:hAnsi="Arial" w:cs="Arial"/>
        </w:rPr>
        <w:t>For 2017-18 cohort, 86% of ‘Catch up’ pupils who were re-tested in English were found to have attained the Year 6 Expected Standard.</w:t>
      </w:r>
    </w:p>
    <w:p>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tc>
          <w:tcPr>
            <w:tcW w:w="2254" w:type="dxa"/>
          </w:tcPr>
          <w:p>
            <w:pPr>
              <w:rPr>
                <w:rFonts w:ascii="Arial" w:hAnsi="Arial" w:cs="Arial"/>
              </w:rPr>
            </w:pPr>
          </w:p>
        </w:tc>
        <w:tc>
          <w:tcPr>
            <w:tcW w:w="2254" w:type="dxa"/>
          </w:tcPr>
          <w:p>
            <w:pPr>
              <w:rPr>
                <w:rFonts w:ascii="Arial" w:hAnsi="Arial" w:cs="Arial"/>
              </w:rPr>
            </w:pPr>
            <w:r>
              <w:rPr>
                <w:rFonts w:ascii="Arial" w:hAnsi="Arial" w:cs="Arial"/>
              </w:rPr>
              <w:t>Number of pupils</w:t>
            </w:r>
          </w:p>
        </w:tc>
        <w:tc>
          <w:tcPr>
            <w:tcW w:w="2254" w:type="dxa"/>
          </w:tcPr>
          <w:p>
            <w:pPr>
              <w:rPr>
                <w:rFonts w:ascii="Arial" w:hAnsi="Arial" w:cs="Arial"/>
              </w:rPr>
            </w:pPr>
            <w:r>
              <w:rPr>
                <w:rFonts w:ascii="Arial" w:hAnsi="Arial" w:cs="Arial"/>
              </w:rPr>
              <w:t>At Expected Standard when re-tested</w:t>
            </w:r>
          </w:p>
        </w:tc>
        <w:tc>
          <w:tcPr>
            <w:tcW w:w="2254" w:type="dxa"/>
          </w:tcPr>
          <w:p>
            <w:pPr>
              <w:rPr>
                <w:rFonts w:ascii="Arial" w:hAnsi="Arial" w:cs="Arial"/>
              </w:rPr>
            </w:pPr>
            <w:r>
              <w:rPr>
                <w:rFonts w:ascii="Arial" w:hAnsi="Arial" w:cs="Arial"/>
              </w:rPr>
              <w:t>Below Expected Standard</w:t>
            </w:r>
          </w:p>
        </w:tc>
      </w:tr>
      <w:tr>
        <w:tc>
          <w:tcPr>
            <w:tcW w:w="2254" w:type="dxa"/>
          </w:tcPr>
          <w:p>
            <w:pPr>
              <w:jc w:val="center"/>
              <w:rPr>
                <w:rFonts w:ascii="Arial" w:hAnsi="Arial" w:cs="Arial"/>
              </w:rPr>
            </w:pPr>
            <w:r>
              <w:rPr>
                <w:rFonts w:ascii="Arial" w:hAnsi="Arial" w:cs="Arial"/>
              </w:rPr>
              <w:t>Reading</w:t>
            </w:r>
          </w:p>
          <w:p>
            <w:pPr>
              <w:jc w:val="center"/>
              <w:rPr>
                <w:rFonts w:ascii="Arial" w:hAnsi="Arial" w:cs="Arial"/>
              </w:rPr>
            </w:pPr>
          </w:p>
        </w:tc>
        <w:tc>
          <w:tcPr>
            <w:tcW w:w="2254" w:type="dxa"/>
          </w:tcPr>
          <w:p>
            <w:pPr>
              <w:jc w:val="center"/>
              <w:rPr>
                <w:rFonts w:ascii="Arial" w:hAnsi="Arial" w:cs="Arial"/>
              </w:rPr>
            </w:pPr>
            <w:r>
              <w:rPr>
                <w:rFonts w:ascii="Arial" w:hAnsi="Arial" w:cs="Arial"/>
              </w:rPr>
              <w:t>14</w:t>
            </w:r>
          </w:p>
        </w:tc>
        <w:tc>
          <w:tcPr>
            <w:tcW w:w="2254" w:type="dxa"/>
          </w:tcPr>
          <w:p>
            <w:pPr>
              <w:jc w:val="center"/>
              <w:rPr>
                <w:rFonts w:ascii="Arial" w:hAnsi="Arial" w:cs="Arial"/>
              </w:rPr>
            </w:pPr>
            <w:r>
              <w:rPr>
                <w:rFonts w:ascii="Arial" w:hAnsi="Arial" w:cs="Arial"/>
              </w:rPr>
              <w:t>12</w:t>
            </w:r>
          </w:p>
        </w:tc>
        <w:tc>
          <w:tcPr>
            <w:tcW w:w="2254" w:type="dxa"/>
          </w:tcPr>
          <w:p>
            <w:pPr>
              <w:jc w:val="center"/>
              <w:rPr>
                <w:rFonts w:ascii="Arial" w:hAnsi="Arial" w:cs="Arial"/>
              </w:rPr>
            </w:pPr>
            <w:r>
              <w:rPr>
                <w:rFonts w:ascii="Arial" w:hAnsi="Arial" w:cs="Arial"/>
              </w:rPr>
              <w:t>2</w:t>
            </w:r>
          </w:p>
        </w:tc>
      </w:tr>
    </w:tbl>
    <w:p>
      <w:pPr>
        <w:rPr>
          <w:rFonts w:ascii="Arial" w:hAnsi="Arial" w:cs="Arial"/>
        </w:rPr>
      </w:pPr>
    </w:p>
    <w:p>
      <w:pPr>
        <w:rPr>
          <w:rFonts w:ascii="Arial" w:hAnsi="Arial" w:cs="Arial"/>
          <w:highlight w:val="yellow"/>
        </w:rPr>
      </w:pPr>
      <w:r>
        <w:rPr>
          <w:rFonts w:ascii="Arial" w:hAnsi="Arial" w:cs="Arial"/>
          <w:highlight w:val="yellow"/>
        </w:rPr>
        <w:br w:type="page"/>
      </w:r>
    </w:p>
    <w:p>
      <w:pPr>
        <w:rPr>
          <w:rFonts w:ascii="Arial" w:hAnsi="Arial" w:cs="Arial"/>
        </w:rPr>
      </w:pPr>
      <w:r>
        <w:rPr>
          <w:rFonts w:ascii="Arial" w:hAnsi="Arial" w:cs="Arial"/>
        </w:rPr>
        <w:t>Windsor Park CE Middle School –Year 7 ‘Catch-up’</w:t>
      </w:r>
    </w:p>
    <w:p>
      <w:pPr>
        <w:rPr>
          <w:rFonts w:ascii="Arial" w:hAnsi="Arial" w:cs="Arial"/>
        </w:rPr>
      </w:pPr>
      <w:r>
        <w:rPr>
          <w:rFonts w:ascii="Arial" w:hAnsi="Arial" w:cs="Arial"/>
        </w:rPr>
        <w:t>Funding:</w:t>
      </w:r>
    </w:p>
    <w:p>
      <w:pPr>
        <w:rPr>
          <w:rFonts w:ascii="Arial" w:hAnsi="Arial" w:cs="Arial"/>
        </w:rPr>
      </w:pPr>
      <w:r>
        <w:rPr>
          <w:rFonts w:ascii="Arial" w:hAnsi="Arial" w:cs="Arial"/>
        </w:rPr>
        <w:t>Refers to the financial year 2017-2018 actual spend (£10,762):</w:t>
      </w:r>
    </w:p>
    <w:tbl>
      <w:tblPr>
        <w:tblStyle w:val="TableGrid"/>
        <w:tblW w:w="0" w:type="auto"/>
        <w:tblLook w:val="04A0" w:firstRow="1" w:lastRow="0" w:firstColumn="1" w:lastColumn="0" w:noHBand="0" w:noVBand="1"/>
      </w:tblPr>
      <w:tblGrid>
        <w:gridCol w:w="4488"/>
        <w:gridCol w:w="4490"/>
      </w:tblGrid>
      <w:tr>
        <w:trPr>
          <w:trHeight w:val="263"/>
        </w:trPr>
        <w:tc>
          <w:tcPr>
            <w:tcW w:w="4488" w:type="dxa"/>
          </w:tcPr>
          <w:p>
            <w:pPr>
              <w:jc w:val="center"/>
              <w:rPr>
                <w:rFonts w:ascii="Arial" w:hAnsi="Arial" w:cs="Arial"/>
                <w:b/>
              </w:rPr>
            </w:pPr>
            <w:r>
              <w:rPr>
                <w:rFonts w:ascii="Arial" w:hAnsi="Arial" w:cs="Arial"/>
                <w:b/>
              </w:rPr>
              <w:t>Activity</w:t>
            </w:r>
          </w:p>
        </w:tc>
        <w:tc>
          <w:tcPr>
            <w:tcW w:w="4490" w:type="dxa"/>
          </w:tcPr>
          <w:p>
            <w:pPr>
              <w:jc w:val="center"/>
              <w:rPr>
                <w:rFonts w:ascii="Arial" w:hAnsi="Arial" w:cs="Arial"/>
                <w:b/>
              </w:rPr>
            </w:pPr>
            <w:r>
              <w:rPr>
                <w:rFonts w:ascii="Arial" w:hAnsi="Arial" w:cs="Arial"/>
                <w:b/>
              </w:rPr>
              <w:t>Funding Cost</w:t>
            </w:r>
          </w:p>
        </w:tc>
      </w:tr>
      <w:tr>
        <w:trPr>
          <w:trHeight w:val="247"/>
        </w:trPr>
        <w:tc>
          <w:tcPr>
            <w:tcW w:w="4488" w:type="dxa"/>
          </w:tcPr>
          <w:p>
            <w:pPr>
              <w:rPr>
                <w:rFonts w:ascii="Arial" w:hAnsi="Arial" w:cs="Arial"/>
              </w:rPr>
            </w:pPr>
            <w:r>
              <w:rPr>
                <w:rFonts w:ascii="Arial" w:hAnsi="Arial" w:cs="Arial"/>
              </w:rPr>
              <w:t xml:space="preserve">Easter School </w:t>
            </w:r>
            <w:r>
              <w:rPr>
                <w:rFonts w:ascii="Arial" w:hAnsi="Arial" w:cs="Arial"/>
              </w:rPr>
              <w:t>Staffing – TA</w:t>
            </w:r>
          </w:p>
        </w:tc>
        <w:tc>
          <w:tcPr>
            <w:tcW w:w="4490" w:type="dxa"/>
          </w:tcPr>
          <w:p>
            <w:pPr>
              <w:rPr>
                <w:rFonts w:ascii="Arial" w:hAnsi="Arial" w:cs="Arial"/>
              </w:rPr>
            </w:pPr>
            <w:r>
              <w:rPr>
                <w:rFonts w:ascii="Arial" w:hAnsi="Arial" w:cs="Arial"/>
              </w:rPr>
              <w:t>£1,755</w:t>
            </w:r>
          </w:p>
        </w:tc>
      </w:tr>
      <w:tr>
        <w:trPr>
          <w:trHeight w:val="263"/>
        </w:trPr>
        <w:tc>
          <w:tcPr>
            <w:tcW w:w="4488" w:type="dxa"/>
          </w:tcPr>
          <w:p>
            <w:pPr>
              <w:rPr>
                <w:rFonts w:ascii="Arial" w:hAnsi="Arial" w:cs="Arial"/>
              </w:rPr>
            </w:pPr>
            <w:r>
              <w:rPr>
                <w:rFonts w:ascii="Arial" w:hAnsi="Arial" w:cs="Arial"/>
              </w:rPr>
              <w:t>Intervention</w:t>
            </w:r>
          </w:p>
        </w:tc>
        <w:tc>
          <w:tcPr>
            <w:tcW w:w="4490" w:type="dxa"/>
          </w:tcPr>
          <w:p>
            <w:pPr>
              <w:rPr>
                <w:rFonts w:ascii="Arial" w:hAnsi="Arial" w:cs="Arial"/>
              </w:rPr>
            </w:pPr>
            <w:r>
              <w:rPr>
                <w:rFonts w:ascii="Arial" w:hAnsi="Arial" w:cs="Arial"/>
              </w:rPr>
              <w:t>£5,250</w:t>
            </w:r>
          </w:p>
        </w:tc>
      </w:tr>
      <w:tr>
        <w:trPr>
          <w:trHeight w:val="247"/>
        </w:trPr>
        <w:tc>
          <w:tcPr>
            <w:tcW w:w="4488" w:type="dxa"/>
          </w:tcPr>
          <w:p>
            <w:pPr>
              <w:rPr>
                <w:rFonts w:ascii="Arial" w:hAnsi="Arial" w:cs="Arial"/>
              </w:rPr>
            </w:pPr>
            <w:r>
              <w:rPr>
                <w:rFonts w:ascii="Arial" w:hAnsi="Arial" w:cs="Arial"/>
              </w:rPr>
              <w:t>Teaching Staff</w:t>
            </w:r>
          </w:p>
        </w:tc>
        <w:tc>
          <w:tcPr>
            <w:tcW w:w="4490" w:type="dxa"/>
          </w:tcPr>
          <w:p>
            <w:pPr>
              <w:rPr>
                <w:rFonts w:ascii="Arial" w:hAnsi="Arial" w:cs="Arial"/>
              </w:rPr>
            </w:pPr>
            <w:r>
              <w:rPr>
                <w:rFonts w:ascii="Arial" w:hAnsi="Arial" w:cs="Arial"/>
              </w:rPr>
              <w:t>£2,437</w:t>
            </w:r>
          </w:p>
        </w:tc>
      </w:tr>
      <w:tr>
        <w:trPr>
          <w:trHeight w:val="263"/>
        </w:trPr>
        <w:tc>
          <w:tcPr>
            <w:tcW w:w="4488" w:type="dxa"/>
          </w:tcPr>
          <w:p>
            <w:pPr>
              <w:rPr>
                <w:rFonts w:ascii="Arial" w:hAnsi="Arial" w:cs="Arial"/>
              </w:rPr>
            </w:pPr>
            <w:r>
              <w:rPr>
                <w:rFonts w:ascii="Arial" w:hAnsi="Arial" w:cs="Arial"/>
              </w:rPr>
              <w:t>Activities</w:t>
            </w:r>
          </w:p>
        </w:tc>
        <w:tc>
          <w:tcPr>
            <w:tcW w:w="4490" w:type="dxa"/>
          </w:tcPr>
          <w:p>
            <w:pPr>
              <w:rPr>
                <w:rFonts w:ascii="Arial" w:hAnsi="Arial" w:cs="Arial"/>
              </w:rPr>
            </w:pPr>
            <w:r>
              <w:rPr>
                <w:rFonts w:ascii="Arial" w:hAnsi="Arial" w:cs="Arial"/>
              </w:rPr>
              <w:t>£465</w:t>
            </w:r>
          </w:p>
        </w:tc>
      </w:tr>
      <w:tr>
        <w:trPr>
          <w:trHeight w:val="247"/>
        </w:trPr>
        <w:tc>
          <w:tcPr>
            <w:tcW w:w="4488" w:type="dxa"/>
          </w:tcPr>
          <w:p>
            <w:pPr>
              <w:rPr>
                <w:rFonts w:ascii="Arial" w:hAnsi="Arial" w:cs="Arial"/>
              </w:rPr>
            </w:pPr>
            <w:r>
              <w:rPr>
                <w:rFonts w:ascii="Arial" w:hAnsi="Arial" w:cs="Arial"/>
              </w:rPr>
              <w:t>Resources</w:t>
            </w:r>
          </w:p>
        </w:tc>
        <w:tc>
          <w:tcPr>
            <w:tcW w:w="4490" w:type="dxa"/>
          </w:tcPr>
          <w:p>
            <w:pPr>
              <w:rPr>
                <w:rFonts w:ascii="Arial" w:hAnsi="Arial" w:cs="Arial"/>
              </w:rPr>
            </w:pPr>
            <w:r>
              <w:rPr>
                <w:rFonts w:ascii="Arial" w:hAnsi="Arial" w:cs="Arial"/>
              </w:rPr>
              <w:t>£265</w:t>
            </w:r>
          </w:p>
        </w:tc>
      </w:tr>
      <w:tr>
        <w:trPr>
          <w:trHeight w:val="263"/>
        </w:trPr>
        <w:tc>
          <w:tcPr>
            <w:tcW w:w="4488" w:type="dxa"/>
          </w:tcPr>
          <w:p>
            <w:pPr>
              <w:rPr>
                <w:rFonts w:ascii="Arial" w:hAnsi="Arial" w:cs="Arial"/>
              </w:rPr>
            </w:pPr>
            <w:r>
              <w:rPr>
                <w:rFonts w:ascii="Arial" w:hAnsi="Arial" w:cs="Arial"/>
              </w:rPr>
              <w:t>Software</w:t>
            </w:r>
          </w:p>
        </w:tc>
        <w:tc>
          <w:tcPr>
            <w:tcW w:w="4490" w:type="dxa"/>
          </w:tcPr>
          <w:p>
            <w:pPr>
              <w:rPr>
                <w:rFonts w:ascii="Arial" w:hAnsi="Arial" w:cs="Arial"/>
              </w:rPr>
            </w:pPr>
            <w:r>
              <w:rPr>
                <w:rFonts w:ascii="Arial" w:hAnsi="Arial" w:cs="Arial"/>
              </w:rPr>
              <w:t>£180</w:t>
            </w:r>
          </w:p>
        </w:tc>
      </w:tr>
      <w:tr>
        <w:trPr>
          <w:trHeight w:val="247"/>
        </w:trPr>
        <w:tc>
          <w:tcPr>
            <w:tcW w:w="4488" w:type="dxa"/>
          </w:tcPr>
          <w:p>
            <w:pPr>
              <w:rPr>
                <w:rFonts w:ascii="Arial" w:hAnsi="Arial" w:cs="Arial"/>
              </w:rPr>
            </w:pPr>
            <w:r>
              <w:rPr>
                <w:rFonts w:ascii="Arial" w:hAnsi="Arial" w:cs="Arial"/>
              </w:rPr>
              <w:t>Refreshments</w:t>
            </w:r>
          </w:p>
        </w:tc>
        <w:tc>
          <w:tcPr>
            <w:tcW w:w="4490" w:type="dxa"/>
          </w:tcPr>
          <w:p>
            <w:pPr>
              <w:rPr>
                <w:rFonts w:ascii="Arial" w:hAnsi="Arial" w:cs="Arial"/>
              </w:rPr>
            </w:pPr>
            <w:r>
              <w:rPr>
                <w:rFonts w:ascii="Arial" w:hAnsi="Arial" w:cs="Arial"/>
              </w:rPr>
              <w:t xml:space="preserve">£410 </w:t>
            </w:r>
          </w:p>
        </w:tc>
      </w:tr>
      <w:tr>
        <w:trPr>
          <w:trHeight w:val="247"/>
        </w:trPr>
        <w:tc>
          <w:tcPr>
            <w:tcW w:w="4488" w:type="dxa"/>
          </w:tcPr>
          <w:p>
            <w:pPr>
              <w:rPr>
                <w:rFonts w:ascii="Arial" w:hAnsi="Arial" w:cs="Arial"/>
              </w:rPr>
            </w:pPr>
            <w:r>
              <w:rPr>
                <w:rFonts w:ascii="Arial" w:hAnsi="Arial" w:cs="Arial"/>
              </w:rPr>
              <w:t>Total Spend</w:t>
            </w:r>
          </w:p>
        </w:tc>
        <w:tc>
          <w:tcPr>
            <w:tcW w:w="4490" w:type="dxa"/>
          </w:tcPr>
          <w:p>
            <w:pPr>
              <w:rPr>
                <w:rFonts w:ascii="Arial" w:hAnsi="Arial" w:cs="Arial"/>
              </w:rPr>
            </w:pPr>
            <w:r>
              <w:rPr>
                <w:rFonts w:ascii="Arial" w:hAnsi="Arial" w:cs="Arial"/>
              </w:rPr>
              <w:t>£10,762</w:t>
            </w:r>
          </w:p>
        </w:tc>
      </w:tr>
    </w:tbl>
    <w:p>
      <w:pPr>
        <w:rPr>
          <w:rFonts w:ascii="Arial" w:hAnsi="Arial" w:cs="Arial"/>
        </w:rPr>
      </w:pPr>
    </w:p>
    <w:p>
      <w:pPr>
        <w:rPr>
          <w:rFonts w:ascii="Arial" w:hAnsi="Arial" w:cs="Arial"/>
        </w:rPr>
      </w:pPr>
    </w:p>
    <w:p>
      <w:pPr>
        <w:rPr>
          <w:rFonts w:ascii="Arial" w:hAnsi="Arial" w:cs="Arial"/>
        </w:rPr>
      </w:pPr>
      <w:r>
        <w:rPr>
          <w:rFonts w:ascii="Arial" w:hAnsi="Arial" w:cs="Arial"/>
        </w:rPr>
        <w:t>Refers to the financial year 2018-19 proposed spend (£12,250):</w:t>
      </w:r>
    </w:p>
    <w:tbl>
      <w:tblPr>
        <w:tblStyle w:val="TableGrid"/>
        <w:tblW w:w="0" w:type="auto"/>
        <w:tblLook w:val="04A0" w:firstRow="1" w:lastRow="0" w:firstColumn="1" w:lastColumn="0" w:noHBand="0" w:noVBand="1"/>
      </w:tblPr>
      <w:tblGrid>
        <w:gridCol w:w="4508"/>
        <w:gridCol w:w="4508"/>
      </w:tblGrid>
      <w:tr>
        <w:tc>
          <w:tcPr>
            <w:tcW w:w="4508" w:type="dxa"/>
          </w:tcPr>
          <w:p>
            <w:pPr>
              <w:jc w:val="center"/>
              <w:rPr>
                <w:rFonts w:ascii="Arial" w:hAnsi="Arial" w:cs="Arial"/>
                <w:b/>
              </w:rPr>
            </w:pPr>
            <w:r>
              <w:rPr>
                <w:rFonts w:ascii="Arial" w:hAnsi="Arial" w:cs="Arial"/>
                <w:b/>
              </w:rPr>
              <w:t>Activity</w:t>
            </w:r>
          </w:p>
        </w:tc>
        <w:tc>
          <w:tcPr>
            <w:tcW w:w="4508" w:type="dxa"/>
          </w:tcPr>
          <w:p>
            <w:pPr>
              <w:jc w:val="center"/>
              <w:rPr>
                <w:rFonts w:ascii="Arial" w:hAnsi="Arial" w:cs="Arial"/>
                <w:b/>
              </w:rPr>
            </w:pPr>
            <w:r>
              <w:rPr>
                <w:rFonts w:ascii="Arial" w:hAnsi="Arial" w:cs="Arial"/>
                <w:b/>
              </w:rPr>
              <w:t>Funding Cost</w:t>
            </w:r>
          </w:p>
        </w:tc>
      </w:tr>
      <w:tr>
        <w:tc>
          <w:tcPr>
            <w:tcW w:w="4508" w:type="dxa"/>
          </w:tcPr>
          <w:p>
            <w:pPr>
              <w:rPr>
                <w:rFonts w:ascii="Arial" w:hAnsi="Arial" w:cs="Arial"/>
              </w:rPr>
            </w:pPr>
            <w:r>
              <w:rPr>
                <w:rFonts w:ascii="Arial" w:hAnsi="Arial" w:cs="Arial"/>
              </w:rPr>
              <w:t>Easter School</w:t>
            </w:r>
          </w:p>
        </w:tc>
        <w:tc>
          <w:tcPr>
            <w:tcW w:w="4508" w:type="dxa"/>
          </w:tcPr>
          <w:p>
            <w:pPr>
              <w:rPr>
                <w:rFonts w:ascii="Arial" w:hAnsi="Arial" w:cs="Arial"/>
              </w:rPr>
            </w:pPr>
            <w:r>
              <w:rPr>
                <w:rFonts w:ascii="Arial" w:hAnsi="Arial" w:cs="Arial"/>
              </w:rPr>
              <w:t>£1,755</w:t>
            </w:r>
          </w:p>
        </w:tc>
      </w:tr>
      <w:tr>
        <w:tc>
          <w:tcPr>
            <w:tcW w:w="4508" w:type="dxa"/>
          </w:tcPr>
          <w:p>
            <w:pPr>
              <w:rPr>
                <w:rFonts w:ascii="Arial" w:hAnsi="Arial" w:cs="Arial"/>
              </w:rPr>
            </w:pPr>
            <w:r>
              <w:rPr>
                <w:rFonts w:ascii="Arial" w:hAnsi="Arial" w:cs="Arial"/>
              </w:rPr>
              <w:t>Intervention</w:t>
            </w:r>
          </w:p>
        </w:tc>
        <w:tc>
          <w:tcPr>
            <w:tcW w:w="4508" w:type="dxa"/>
          </w:tcPr>
          <w:p>
            <w:pPr>
              <w:rPr>
                <w:rFonts w:ascii="Arial" w:hAnsi="Arial" w:cs="Arial"/>
              </w:rPr>
            </w:pPr>
            <w:r>
              <w:rPr>
                <w:rFonts w:ascii="Arial" w:hAnsi="Arial" w:cs="Arial"/>
              </w:rPr>
              <w:t>£5,750</w:t>
            </w:r>
          </w:p>
        </w:tc>
      </w:tr>
      <w:tr>
        <w:tc>
          <w:tcPr>
            <w:tcW w:w="4508" w:type="dxa"/>
          </w:tcPr>
          <w:p>
            <w:pPr>
              <w:rPr>
                <w:rFonts w:ascii="Arial" w:hAnsi="Arial" w:cs="Arial"/>
              </w:rPr>
            </w:pPr>
            <w:r>
              <w:rPr>
                <w:rFonts w:ascii="Arial" w:hAnsi="Arial" w:cs="Arial"/>
              </w:rPr>
              <w:t>Resources</w:t>
            </w:r>
          </w:p>
        </w:tc>
        <w:tc>
          <w:tcPr>
            <w:tcW w:w="4508" w:type="dxa"/>
          </w:tcPr>
          <w:p>
            <w:pPr>
              <w:rPr>
                <w:rFonts w:ascii="Arial" w:hAnsi="Arial" w:cs="Arial"/>
              </w:rPr>
            </w:pPr>
            <w:r>
              <w:rPr>
                <w:rFonts w:ascii="Arial" w:hAnsi="Arial" w:cs="Arial"/>
              </w:rPr>
              <w:t>£350</w:t>
            </w:r>
          </w:p>
        </w:tc>
      </w:tr>
      <w:tr>
        <w:tc>
          <w:tcPr>
            <w:tcW w:w="4508" w:type="dxa"/>
          </w:tcPr>
          <w:p>
            <w:pPr>
              <w:rPr>
                <w:rFonts w:ascii="Arial" w:hAnsi="Arial" w:cs="Arial"/>
              </w:rPr>
            </w:pPr>
            <w:r>
              <w:rPr>
                <w:rFonts w:ascii="Arial" w:hAnsi="Arial" w:cs="Arial"/>
              </w:rPr>
              <w:t>Software</w:t>
            </w:r>
          </w:p>
        </w:tc>
        <w:tc>
          <w:tcPr>
            <w:tcW w:w="4508" w:type="dxa"/>
          </w:tcPr>
          <w:p>
            <w:pPr>
              <w:rPr>
                <w:rFonts w:ascii="Arial" w:hAnsi="Arial" w:cs="Arial"/>
              </w:rPr>
            </w:pPr>
            <w:r>
              <w:rPr>
                <w:rFonts w:ascii="Arial" w:hAnsi="Arial" w:cs="Arial"/>
              </w:rPr>
              <w:t>£250</w:t>
            </w:r>
          </w:p>
        </w:tc>
      </w:tr>
      <w:tr>
        <w:tc>
          <w:tcPr>
            <w:tcW w:w="4508" w:type="dxa"/>
          </w:tcPr>
          <w:p>
            <w:pPr>
              <w:rPr>
                <w:rFonts w:ascii="Arial" w:hAnsi="Arial" w:cs="Arial"/>
              </w:rPr>
            </w:pPr>
            <w:r>
              <w:rPr>
                <w:rFonts w:ascii="Arial" w:hAnsi="Arial" w:cs="Arial"/>
              </w:rPr>
              <w:t>Activities</w:t>
            </w:r>
          </w:p>
        </w:tc>
        <w:tc>
          <w:tcPr>
            <w:tcW w:w="4508" w:type="dxa"/>
          </w:tcPr>
          <w:p>
            <w:pPr>
              <w:rPr>
                <w:rFonts w:ascii="Arial" w:hAnsi="Arial" w:cs="Arial"/>
              </w:rPr>
            </w:pPr>
            <w:r>
              <w:rPr>
                <w:rFonts w:ascii="Arial" w:hAnsi="Arial" w:cs="Arial"/>
              </w:rPr>
              <w:t>£750</w:t>
            </w:r>
          </w:p>
        </w:tc>
      </w:tr>
      <w:tr>
        <w:tc>
          <w:tcPr>
            <w:tcW w:w="4508" w:type="dxa"/>
          </w:tcPr>
          <w:p>
            <w:pPr>
              <w:rPr>
                <w:rFonts w:ascii="Arial" w:hAnsi="Arial" w:cs="Arial"/>
              </w:rPr>
            </w:pPr>
            <w:r>
              <w:rPr>
                <w:rFonts w:ascii="Arial" w:hAnsi="Arial" w:cs="Arial"/>
              </w:rPr>
              <w:t>Teaching Staff</w:t>
            </w:r>
          </w:p>
        </w:tc>
        <w:tc>
          <w:tcPr>
            <w:tcW w:w="4508" w:type="dxa"/>
          </w:tcPr>
          <w:p>
            <w:pPr>
              <w:rPr>
                <w:rFonts w:ascii="Arial" w:hAnsi="Arial" w:cs="Arial"/>
              </w:rPr>
            </w:pPr>
            <w:r>
              <w:rPr>
                <w:rFonts w:ascii="Arial" w:hAnsi="Arial" w:cs="Arial"/>
              </w:rPr>
              <w:t>£2,895</w:t>
            </w:r>
          </w:p>
        </w:tc>
      </w:tr>
      <w:tr>
        <w:tc>
          <w:tcPr>
            <w:tcW w:w="4508" w:type="dxa"/>
          </w:tcPr>
          <w:p>
            <w:pPr>
              <w:rPr>
                <w:rFonts w:ascii="Arial" w:hAnsi="Arial" w:cs="Arial"/>
              </w:rPr>
            </w:pPr>
            <w:r>
              <w:rPr>
                <w:rFonts w:ascii="Arial" w:hAnsi="Arial" w:cs="Arial"/>
              </w:rPr>
              <w:t>Refreshments</w:t>
            </w:r>
          </w:p>
        </w:tc>
        <w:tc>
          <w:tcPr>
            <w:tcW w:w="4508" w:type="dxa"/>
          </w:tcPr>
          <w:p>
            <w:pPr>
              <w:rPr>
                <w:rFonts w:ascii="Arial" w:hAnsi="Arial" w:cs="Arial"/>
              </w:rPr>
            </w:pPr>
            <w:r>
              <w:rPr>
                <w:rFonts w:ascii="Arial" w:hAnsi="Arial" w:cs="Arial"/>
              </w:rPr>
              <w:t>£500</w:t>
            </w:r>
          </w:p>
        </w:tc>
      </w:tr>
      <w:tr>
        <w:tc>
          <w:tcPr>
            <w:tcW w:w="4508" w:type="dxa"/>
          </w:tcPr>
          <w:p>
            <w:pPr>
              <w:rPr>
                <w:rFonts w:ascii="Arial" w:hAnsi="Arial" w:cs="Arial"/>
              </w:rPr>
            </w:pPr>
            <w:r>
              <w:rPr>
                <w:rFonts w:ascii="Arial" w:hAnsi="Arial" w:cs="Arial"/>
              </w:rPr>
              <w:t>Total Spend</w:t>
            </w:r>
          </w:p>
        </w:tc>
        <w:tc>
          <w:tcPr>
            <w:tcW w:w="4508" w:type="dxa"/>
          </w:tcPr>
          <w:p>
            <w:pPr>
              <w:rPr>
                <w:rFonts w:ascii="Arial" w:hAnsi="Arial" w:cs="Arial"/>
              </w:rPr>
            </w:pPr>
            <w:r>
              <w:rPr>
                <w:rFonts w:ascii="Arial" w:hAnsi="Arial" w:cs="Arial"/>
              </w:rPr>
              <w:t>£12,250</w:t>
            </w:r>
          </w:p>
        </w:tc>
      </w:tr>
    </w:tbl>
    <w:p>
      <w:pPr>
        <w:rPr>
          <w:rFonts w:ascii="Arial" w:hAnsi="Arial" w:cs="Arial"/>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A7C81"/>
    <w:multiLevelType w:val="hybridMultilevel"/>
    <w:tmpl w:val="668A1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AF51BD"/>
    <w:multiLevelType w:val="hybridMultilevel"/>
    <w:tmpl w:val="113A5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AE320-0ECB-4CF1-BA7D-8D29BF7A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245B1045.dotm</Template>
  <TotalTime>1</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Windsor Park Middle School</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mrthomas</dc:creator>
  <cp:keywords/>
  <dc:description/>
  <cp:lastModifiedBy>wjones</cp:lastModifiedBy>
  <cp:revision>2</cp:revision>
  <cp:lastPrinted>2018-11-23T14:18:00Z</cp:lastPrinted>
  <dcterms:created xsi:type="dcterms:W3CDTF">2018-11-30T14:26:00Z</dcterms:created>
  <dcterms:modified xsi:type="dcterms:W3CDTF">2018-11-30T14:26:00Z</dcterms:modified>
</cp:coreProperties>
</file>