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BAF3" w14:textId="451D6F89" w:rsidR="00326C32" w:rsidRDefault="00326C32" w:rsidP="00326C32">
      <w:pPr>
        <w:pStyle w:val="Heading1"/>
        <w:rPr>
          <w:rFonts w:eastAsia="Arial"/>
        </w:rPr>
      </w:pPr>
      <w:bookmarkStart w:id="0" w:name="_Toc449687248"/>
      <w:bookmarkStart w:id="1" w:name="_Toc433976555"/>
      <w:r w:rsidRPr="004E0F5B">
        <w:rPr>
          <w:rFonts w:eastAsia="Arial"/>
        </w:rPr>
        <w:t xml:space="preserve"> </w:t>
      </w:r>
      <w:r w:rsidR="00D04B89"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r>
        <w:rPr>
          <w:rFonts w:eastAsia="Arial"/>
        </w:rPr>
        <w:t>(secondary)</w:t>
      </w:r>
      <w:bookmarkEnd w:id="0"/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134"/>
        <w:gridCol w:w="5386"/>
        <w:gridCol w:w="992"/>
      </w:tblGrid>
      <w:tr w:rsidR="00814458" w:rsidRPr="00B80272" w14:paraId="406500D9" w14:textId="77777777" w:rsidTr="00451FA7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63F95DD" w14:textId="4A449AF5" w:rsidR="00814458" w:rsidRPr="00B80272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/>
              <w:contextualSpacing w:val="0"/>
              <w:rPr>
                <w:rFonts w:cs="Arial"/>
                <w:b/>
              </w:rPr>
            </w:pPr>
            <w:r w:rsidRPr="00B80272">
              <w:rPr>
                <w:rFonts w:cs="Arial"/>
                <w:b/>
              </w:rPr>
              <w:t>Summary information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14458" w:rsidRPr="00B80272" w14:paraId="1C92379B" w14:textId="77777777" w:rsidTr="00814458">
        <w:trPr>
          <w:trHeight w:val="175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7DDE5C32" w14:textId="77777777"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5683E26C" w14:textId="0702846E" w:rsidR="00814458" w:rsidRPr="00B80272" w:rsidRDefault="00DD5733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Windsor Park Middle School</w:t>
            </w:r>
          </w:p>
        </w:tc>
      </w:tr>
      <w:tr w:rsidR="00814458" w:rsidRPr="00B80272" w14:paraId="3606FFE5" w14:textId="77777777" w:rsidTr="00B13A85">
        <w:tc>
          <w:tcPr>
            <w:tcW w:w="2943" w:type="dxa"/>
            <w:tcMar>
              <w:top w:w="57" w:type="dxa"/>
              <w:bottom w:w="57" w:type="dxa"/>
            </w:tcMar>
          </w:tcPr>
          <w:p w14:paraId="306BFE24" w14:textId="77777777"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A0173D6" w14:textId="5C05CF42" w:rsidR="00814458" w:rsidRPr="00B80272" w:rsidRDefault="0094729D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2019-20</w:t>
            </w:r>
          </w:p>
        </w:tc>
        <w:tc>
          <w:tcPr>
            <w:tcW w:w="3969" w:type="dxa"/>
          </w:tcPr>
          <w:p w14:paraId="64C59A87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0BC61951" w14:textId="277C538C" w:rsidR="00814458" w:rsidRPr="00B80272" w:rsidRDefault="009116DC" w:rsidP="00497D2D">
            <w:pPr>
              <w:spacing w:after="0" w:line="240" w:lineRule="auto"/>
              <w:rPr>
                <w:rFonts w:cs="Arial"/>
              </w:rPr>
            </w:pPr>
            <w:r w:rsidRPr="00B13A85">
              <w:rPr>
                <w:rFonts w:cs="Arial"/>
              </w:rPr>
              <w:t>£6030</w:t>
            </w:r>
            <w:r w:rsidR="001742C2" w:rsidRPr="00B13A85">
              <w:rPr>
                <w:rFonts w:cs="Arial"/>
              </w:rPr>
              <w:t>0</w:t>
            </w:r>
          </w:p>
        </w:tc>
        <w:tc>
          <w:tcPr>
            <w:tcW w:w="5386" w:type="dxa"/>
          </w:tcPr>
          <w:p w14:paraId="49C5FDF5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Date of m</w:t>
            </w:r>
            <w:r>
              <w:rPr>
                <w:rFonts w:cs="Arial"/>
                <w:b/>
              </w:rPr>
              <w:t>ost recent PP Review</w:t>
            </w:r>
          </w:p>
        </w:tc>
        <w:tc>
          <w:tcPr>
            <w:tcW w:w="992" w:type="dxa"/>
          </w:tcPr>
          <w:p w14:paraId="4BAC8F6C" w14:textId="1A377371" w:rsidR="00814458" w:rsidRPr="00B80272" w:rsidRDefault="00A33690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06.03.2020</w:t>
            </w:r>
          </w:p>
        </w:tc>
      </w:tr>
      <w:tr w:rsidR="00814458" w:rsidRPr="00B80272" w14:paraId="78EC2B0A" w14:textId="77777777" w:rsidTr="00814458">
        <w:tc>
          <w:tcPr>
            <w:tcW w:w="2943" w:type="dxa"/>
            <w:tcMar>
              <w:top w:w="57" w:type="dxa"/>
              <w:bottom w:w="57" w:type="dxa"/>
            </w:tcMar>
          </w:tcPr>
          <w:p w14:paraId="4593CFFB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29E9737" w14:textId="788D4026" w:rsidR="00814458" w:rsidRPr="00B80272" w:rsidRDefault="00A33690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348</w:t>
            </w:r>
          </w:p>
        </w:tc>
        <w:tc>
          <w:tcPr>
            <w:tcW w:w="3969" w:type="dxa"/>
          </w:tcPr>
          <w:p w14:paraId="291BFA50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14:paraId="315EA708" w14:textId="0E960F1B" w:rsidR="00814458" w:rsidRPr="00B80272" w:rsidRDefault="0094729D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5386" w:type="dxa"/>
          </w:tcPr>
          <w:p w14:paraId="173A9AD3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C542C7">
              <w:rPr>
                <w:rFonts w:cs="Arial"/>
                <w:b/>
              </w:rPr>
              <w:t>Date for next internal review</w:t>
            </w:r>
            <w:r>
              <w:rPr>
                <w:rFonts w:cs="Arial"/>
                <w:b/>
              </w:rPr>
              <w:t xml:space="preserve"> of this strategy</w:t>
            </w:r>
          </w:p>
        </w:tc>
        <w:tc>
          <w:tcPr>
            <w:tcW w:w="992" w:type="dxa"/>
          </w:tcPr>
          <w:p w14:paraId="3E525DFB" w14:textId="5C29BC72" w:rsidR="00814458" w:rsidRPr="00B80272" w:rsidRDefault="00A33690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Nov. 20</w:t>
            </w:r>
          </w:p>
        </w:tc>
      </w:tr>
    </w:tbl>
    <w:p w14:paraId="173C1C11" w14:textId="77777777" w:rsidR="00814458" w:rsidRPr="001D569D" w:rsidRDefault="00814458" w:rsidP="00814458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97"/>
        <w:gridCol w:w="7087"/>
        <w:gridCol w:w="2977"/>
        <w:gridCol w:w="4394"/>
      </w:tblGrid>
      <w:tr w:rsidR="00814458" w:rsidRPr="00B80272" w14:paraId="364972F2" w14:textId="77777777" w:rsidTr="006431E0">
        <w:trPr>
          <w:trHeight w:val="146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780D6E32" w14:textId="2C151420"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eastAsia="Arial" w:cs="Arial"/>
                <w:b/>
              </w:rPr>
              <w:t xml:space="preserve">Current attainment </w:t>
            </w:r>
            <w:r w:rsidR="00B24F05">
              <w:rPr>
                <w:rFonts w:eastAsia="Arial" w:cs="Arial"/>
                <w:b/>
              </w:rPr>
              <w:t>/progress on exit</w:t>
            </w:r>
            <w:r w:rsidR="00E81026">
              <w:rPr>
                <w:rFonts w:eastAsia="Arial" w:cs="Arial"/>
                <w:b/>
              </w:rPr>
              <w:t xml:space="preserve"> (year 8)</w:t>
            </w:r>
          </w:p>
        </w:tc>
      </w:tr>
      <w:tr w:rsidR="00814458" w:rsidRPr="00EB79FF" w14:paraId="0CEE256F" w14:textId="77777777" w:rsidTr="006431E0">
        <w:tc>
          <w:tcPr>
            <w:tcW w:w="8046" w:type="dxa"/>
            <w:gridSpan w:val="3"/>
            <w:tcMar>
              <w:top w:w="57" w:type="dxa"/>
              <w:bottom w:w="57" w:type="dxa"/>
            </w:tcMar>
          </w:tcPr>
          <w:p w14:paraId="3ACB6E47" w14:textId="77777777" w:rsidR="00814458" w:rsidRPr="00EB79FF" w:rsidRDefault="00814458" w:rsidP="00497D2D">
            <w:pPr>
              <w:spacing w:after="0" w:line="240" w:lineRule="auto"/>
              <w:ind w:left="720" w:hanging="360"/>
              <w:rPr>
                <w:rFonts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95274C2" w14:textId="77777777"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B55FD95" w14:textId="5C273357"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 xml:space="preserve">Pupils not eligible for PP (national average) </w:t>
            </w:r>
            <w:r w:rsidR="00B24F05">
              <w:rPr>
                <w:rFonts w:cs="Arial"/>
              </w:rPr>
              <w:t>GL assessment used to provide national figure as no national average is available from DfE for year 8</w:t>
            </w:r>
          </w:p>
        </w:tc>
      </w:tr>
      <w:tr w:rsidR="00814458" w:rsidRPr="00B80272" w14:paraId="14353563" w14:textId="77777777" w:rsidTr="006431E0">
        <w:trPr>
          <w:trHeight w:val="290"/>
        </w:trPr>
        <w:tc>
          <w:tcPr>
            <w:tcW w:w="8046" w:type="dxa"/>
            <w:gridSpan w:val="3"/>
            <w:tcMar>
              <w:top w:w="57" w:type="dxa"/>
              <w:bottom w:w="57" w:type="dxa"/>
            </w:tcMar>
            <w:vAlign w:val="center"/>
          </w:tcPr>
          <w:p w14:paraId="0484A77E" w14:textId="5CC56CC3" w:rsidR="00B24F05" w:rsidRPr="00B24F05" w:rsidRDefault="00814458" w:rsidP="00B24F05">
            <w:pPr>
              <w:rPr>
                <w:rFonts w:ascii="Tahoma" w:hAnsi="Tahoma" w:cs="Tahoma"/>
                <w:color w:val="000000"/>
              </w:rPr>
            </w:pPr>
            <w:r w:rsidRPr="00A60ECF">
              <w:rPr>
                <w:rFonts w:eastAsia="Arial" w:cs="Arial"/>
                <w:b/>
                <w:bCs/>
                <w:color w:val="050505"/>
              </w:rPr>
              <w:t xml:space="preserve"> </w:t>
            </w:r>
          </w:p>
          <w:p w14:paraId="701A3442" w14:textId="77777777" w:rsidR="00B24F05" w:rsidRPr="00B24F05" w:rsidRDefault="00B24F05" w:rsidP="00B2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5"/>
            </w:tblGrid>
            <w:tr w:rsidR="00B24F05" w:rsidRPr="00B24F05" w14:paraId="7F9E10C4" w14:textId="77777777">
              <w:trPr>
                <w:trHeight w:val="96"/>
              </w:trPr>
              <w:tc>
                <w:tcPr>
                  <w:tcW w:w="0" w:type="auto"/>
                </w:tcPr>
                <w:p w14:paraId="3853BD9D" w14:textId="1D0D47B4" w:rsidR="00B24F05" w:rsidRPr="00B24F05" w:rsidRDefault="00CB1CF1" w:rsidP="00B24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 xml:space="preserve">Average </w:t>
                  </w:r>
                  <w:r w:rsidR="00B24F05" w:rsidRPr="00B24F05">
                    <w:rPr>
                      <w:rFonts w:cs="Arial"/>
                      <w:b/>
                      <w:color w:val="000000"/>
                    </w:rPr>
                    <w:t>progress</w:t>
                  </w:r>
                  <w:r>
                    <w:rPr>
                      <w:rFonts w:cs="Arial"/>
                      <w:b/>
                      <w:color w:val="000000"/>
                    </w:rPr>
                    <w:t xml:space="preserve"> score</w:t>
                  </w:r>
                  <w:r w:rsidR="00B24F05" w:rsidRPr="00B24F05">
                    <w:rPr>
                      <w:rFonts w:cs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271EC0CF" w14:textId="6EB0006F" w:rsidR="00947CF2" w:rsidRPr="00A60ECF" w:rsidRDefault="007E10AE" w:rsidP="00B24F05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(from KS2)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A6CA7" w14:textId="71FAD951" w:rsidR="00814458" w:rsidRPr="002915C0" w:rsidRDefault="00B24F05" w:rsidP="00947CF2">
            <w:pPr>
              <w:spacing w:after="0" w:line="240" w:lineRule="auto"/>
              <w:ind w:left="187"/>
              <w:rPr>
                <w:rFonts w:cs="Arial"/>
                <w:b/>
              </w:rPr>
            </w:pPr>
            <w:r w:rsidRPr="002915C0">
              <w:rPr>
                <w:rFonts w:cs="Arial"/>
                <w:b/>
              </w:rPr>
              <w:t>Maths:</w:t>
            </w:r>
            <w:r w:rsidR="00B10DC7" w:rsidRPr="002915C0">
              <w:rPr>
                <w:rFonts w:cs="Arial"/>
                <w:b/>
              </w:rPr>
              <w:t xml:space="preserve"> </w:t>
            </w:r>
            <w:r w:rsidR="00426953" w:rsidRPr="002915C0">
              <w:rPr>
                <w:rFonts w:cs="Arial"/>
                <w:b/>
              </w:rPr>
              <w:t>1.34</w:t>
            </w:r>
            <w:r w:rsidR="002915C0" w:rsidRPr="002915C0">
              <w:rPr>
                <w:rFonts w:cs="Arial"/>
                <w:b/>
              </w:rPr>
              <w:t xml:space="preserve"> </w:t>
            </w:r>
          </w:p>
          <w:p w14:paraId="6DBA3DC1" w14:textId="43E75E27" w:rsidR="00B24F05" w:rsidRPr="002915C0" w:rsidRDefault="00B24F05" w:rsidP="00947CF2">
            <w:pPr>
              <w:spacing w:after="0" w:line="240" w:lineRule="auto"/>
              <w:ind w:left="187"/>
              <w:rPr>
                <w:rFonts w:cs="Arial"/>
                <w:b/>
              </w:rPr>
            </w:pPr>
            <w:r w:rsidRPr="002915C0">
              <w:rPr>
                <w:rFonts w:cs="Arial"/>
                <w:b/>
              </w:rPr>
              <w:t>Reading:</w:t>
            </w:r>
            <w:r w:rsidR="00426953" w:rsidRPr="002915C0">
              <w:rPr>
                <w:rFonts w:cs="Arial"/>
                <w:b/>
              </w:rPr>
              <w:t xml:space="preserve"> -1.55</w:t>
            </w:r>
          </w:p>
          <w:p w14:paraId="61D7827D" w14:textId="7AF1D283" w:rsidR="00B24F05" w:rsidRPr="00F71120" w:rsidRDefault="00B24F05" w:rsidP="00947CF2">
            <w:pPr>
              <w:spacing w:after="0" w:line="240" w:lineRule="auto"/>
              <w:ind w:left="187"/>
              <w:rPr>
                <w:rFonts w:cs="Arial"/>
                <w:b/>
                <w:highlight w:val="yellow"/>
              </w:rPr>
            </w:pPr>
            <w:r w:rsidRPr="002915C0">
              <w:rPr>
                <w:rFonts w:cs="Arial"/>
                <w:b/>
              </w:rPr>
              <w:t>Writing:</w:t>
            </w:r>
            <w:r w:rsidR="00B63CAF" w:rsidRPr="002915C0">
              <w:rPr>
                <w:rFonts w:cs="Arial"/>
                <w:b/>
              </w:rPr>
              <w:t xml:space="preserve"> </w:t>
            </w:r>
            <w:r w:rsidR="00426953" w:rsidRPr="002915C0">
              <w:rPr>
                <w:rFonts w:cs="Arial"/>
                <w:b/>
              </w:rPr>
              <w:t>1.56</w:t>
            </w:r>
            <w:r w:rsidR="002915C0" w:rsidRPr="002915C0">
              <w:rPr>
                <w:rFonts w:cs="Arial"/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3B5E594" w14:textId="07F56E82" w:rsidR="00814458" w:rsidRPr="008C10E9" w:rsidRDefault="003B133F" w:rsidP="00947CF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14458" w:rsidRPr="00B80272" w14:paraId="5569B55F" w14:textId="77777777" w:rsidTr="006431E0">
        <w:trPr>
          <w:trHeight w:val="296"/>
        </w:trPr>
        <w:tc>
          <w:tcPr>
            <w:tcW w:w="8046" w:type="dxa"/>
            <w:gridSpan w:val="3"/>
            <w:tcMar>
              <w:top w:w="57" w:type="dxa"/>
              <w:bottom w:w="57" w:type="dxa"/>
            </w:tcMar>
            <w:vAlign w:val="center"/>
          </w:tcPr>
          <w:p w14:paraId="584DC98A" w14:textId="39EE0B28" w:rsidR="00814458" w:rsidRPr="00A60ECF" w:rsidRDefault="00CB1CF1" w:rsidP="003B133F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% </w:t>
            </w:r>
            <w:r w:rsidR="00814458">
              <w:rPr>
                <w:rFonts w:eastAsia="Arial" w:cs="Arial"/>
                <w:b/>
              </w:rPr>
              <w:t xml:space="preserve">achieving </w:t>
            </w:r>
            <w:r w:rsidR="003B133F" w:rsidRPr="003B133F">
              <w:rPr>
                <w:b/>
              </w:rPr>
              <w:t>age related expectations on exit</w:t>
            </w:r>
            <w:r w:rsidR="007E10AE">
              <w:rPr>
                <w:b/>
              </w:rPr>
              <w:t xml:space="preserve"> (attainment from KS2)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746"/>
              <w:gridCol w:w="746"/>
              <w:gridCol w:w="746"/>
            </w:tblGrid>
            <w:tr w:rsidR="00426953" w14:paraId="1B3CEEFB" w14:textId="77777777" w:rsidTr="00D86276">
              <w:tc>
                <w:tcPr>
                  <w:tcW w:w="1803" w:type="dxa"/>
                </w:tcPr>
                <w:p w14:paraId="69B43755" w14:textId="77777777" w:rsidR="00426953" w:rsidRDefault="00426953" w:rsidP="00426953"/>
              </w:tc>
              <w:tc>
                <w:tcPr>
                  <w:tcW w:w="1803" w:type="dxa"/>
                </w:tcPr>
                <w:p w14:paraId="41BBA187" w14:textId="77777777" w:rsidR="00426953" w:rsidRDefault="00426953" w:rsidP="00426953">
                  <w:r>
                    <w:t>8.4+</w:t>
                  </w:r>
                </w:p>
              </w:tc>
              <w:tc>
                <w:tcPr>
                  <w:tcW w:w="1803" w:type="dxa"/>
                </w:tcPr>
                <w:p w14:paraId="5630963A" w14:textId="77777777" w:rsidR="00426953" w:rsidRDefault="00426953" w:rsidP="00426953">
                  <w:r>
                    <w:t>8.5+</w:t>
                  </w:r>
                </w:p>
              </w:tc>
              <w:tc>
                <w:tcPr>
                  <w:tcW w:w="1804" w:type="dxa"/>
                </w:tcPr>
                <w:p w14:paraId="21001546" w14:textId="77777777" w:rsidR="00426953" w:rsidRDefault="00426953" w:rsidP="00426953">
                  <w:r>
                    <w:t>8.6+</w:t>
                  </w:r>
                </w:p>
              </w:tc>
            </w:tr>
            <w:tr w:rsidR="00426953" w14:paraId="0D7E107D" w14:textId="77777777" w:rsidTr="00D86276">
              <w:tc>
                <w:tcPr>
                  <w:tcW w:w="1803" w:type="dxa"/>
                </w:tcPr>
                <w:p w14:paraId="0BA8D0C7" w14:textId="77777777" w:rsidR="00426953" w:rsidRDefault="00426953" w:rsidP="00426953">
                  <w:r>
                    <w:t>M</w:t>
                  </w:r>
                </w:p>
              </w:tc>
              <w:tc>
                <w:tcPr>
                  <w:tcW w:w="1803" w:type="dxa"/>
                </w:tcPr>
                <w:p w14:paraId="665E219B" w14:textId="77777777" w:rsidR="00426953" w:rsidRDefault="00426953" w:rsidP="00426953">
                  <w:r>
                    <w:t>100</w:t>
                  </w:r>
                </w:p>
              </w:tc>
              <w:tc>
                <w:tcPr>
                  <w:tcW w:w="1803" w:type="dxa"/>
                </w:tcPr>
                <w:p w14:paraId="443C23CE" w14:textId="77777777" w:rsidR="00426953" w:rsidRDefault="00426953" w:rsidP="00426953">
                  <w:r>
                    <w:t>81.8</w:t>
                  </w:r>
                </w:p>
              </w:tc>
              <w:tc>
                <w:tcPr>
                  <w:tcW w:w="1804" w:type="dxa"/>
                </w:tcPr>
                <w:p w14:paraId="52367046" w14:textId="77777777" w:rsidR="00426953" w:rsidRDefault="00426953" w:rsidP="00426953">
                  <w:r>
                    <w:t>68.2</w:t>
                  </w:r>
                </w:p>
              </w:tc>
            </w:tr>
            <w:tr w:rsidR="00426953" w14:paraId="27678161" w14:textId="77777777" w:rsidTr="00D86276">
              <w:tc>
                <w:tcPr>
                  <w:tcW w:w="1803" w:type="dxa"/>
                </w:tcPr>
                <w:p w14:paraId="384B43D5" w14:textId="77777777" w:rsidR="00426953" w:rsidRDefault="00426953" w:rsidP="00426953">
                  <w:r>
                    <w:t>R</w:t>
                  </w:r>
                </w:p>
              </w:tc>
              <w:tc>
                <w:tcPr>
                  <w:tcW w:w="1803" w:type="dxa"/>
                </w:tcPr>
                <w:p w14:paraId="3A76139A" w14:textId="77777777" w:rsidR="00426953" w:rsidRDefault="00426953" w:rsidP="00426953">
                  <w:r>
                    <w:t>87.5</w:t>
                  </w:r>
                </w:p>
              </w:tc>
              <w:tc>
                <w:tcPr>
                  <w:tcW w:w="1803" w:type="dxa"/>
                </w:tcPr>
                <w:p w14:paraId="5EDAD0E3" w14:textId="77777777" w:rsidR="00426953" w:rsidRDefault="00426953" w:rsidP="00426953">
                  <w:r>
                    <w:t>79.2</w:t>
                  </w:r>
                </w:p>
              </w:tc>
              <w:tc>
                <w:tcPr>
                  <w:tcW w:w="1804" w:type="dxa"/>
                </w:tcPr>
                <w:p w14:paraId="0B8C7B6B" w14:textId="77777777" w:rsidR="00426953" w:rsidRDefault="00426953" w:rsidP="00426953">
                  <w:r>
                    <w:t>70.8</w:t>
                  </w:r>
                </w:p>
              </w:tc>
            </w:tr>
            <w:tr w:rsidR="00426953" w14:paraId="7FDE88E4" w14:textId="77777777" w:rsidTr="00D86276">
              <w:tc>
                <w:tcPr>
                  <w:tcW w:w="1803" w:type="dxa"/>
                </w:tcPr>
                <w:p w14:paraId="48DB20FB" w14:textId="77777777" w:rsidR="00426953" w:rsidRDefault="00426953" w:rsidP="00426953">
                  <w:r>
                    <w:t>W</w:t>
                  </w:r>
                </w:p>
              </w:tc>
              <w:tc>
                <w:tcPr>
                  <w:tcW w:w="1803" w:type="dxa"/>
                </w:tcPr>
                <w:p w14:paraId="198D269C" w14:textId="77777777" w:rsidR="00426953" w:rsidRDefault="00426953" w:rsidP="00426953">
                  <w:r>
                    <w:t>87.5</w:t>
                  </w:r>
                </w:p>
              </w:tc>
              <w:tc>
                <w:tcPr>
                  <w:tcW w:w="1803" w:type="dxa"/>
                </w:tcPr>
                <w:p w14:paraId="570EF7F3" w14:textId="77777777" w:rsidR="00426953" w:rsidRDefault="00426953" w:rsidP="00426953">
                  <w:r>
                    <w:t>75.0</w:t>
                  </w:r>
                </w:p>
              </w:tc>
              <w:tc>
                <w:tcPr>
                  <w:tcW w:w="1804" w:type="dxa"/>
                </w:tcPr>
                <w:p w14:paraId="744B17D7" w14:textId="77777777" w:rsidR="00426953" w:rsidRDefault="00426953" w:rsidP="00426953">
                  <w:r>
                    <w:t>70.8</w:t>
                  </w:r>
                </w:p>
              </w:tc>
            </w:tr>
          </w:tbl>
          <w:p w14:paraId="3B39A446" w14:textId="5B9B9BBF" w:rsidR="00E81026" w:rsidRPr="00F71120" w:rsidRDefault="00E81026" w:rsidP="00E81026">
            <w:pPr>
              <w:spacing w:after="0" w:line="240" w:lineRule="auto"/>
              <w:ind w:left="187"/>
              <w:rPr>
                <w:rFonts w:cs="Arial"/>
                <w:b/>
                <w:highlight w:val="yellow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D5FF5E9" w14:textId="579E21AD" w:rsidR="00814458" w:rsidRPr="00A8709B" w:rsidRDefault="00814458" w:rsidP="00947CF2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814458" w:rsidRPr="00B80272" w14:paraId="668E8C99" w14:textId="77777777" w:rsidTr="006431E0">
        <w:trPr>
          <w:trHeight w:val="302"/>
        </w:trPr>
        <w:tc>
          <w:tcPr>
            <w:tcW w:w="8046" w:type="dxa"/>
            <w:gridSpan w:val="3"/>
            <w:tcMar>
              <w:top w:w="57" w:type="dxa"/>
              <w:bottom w:w="57" w:type="dxa"/>
            </w:tcMar>
            <w:vAlign w:val="center"/>
          </w:tcPr>
          <w:p w14:paraId="4B57C11C" w14:textId="00982040" w:rsidR="00814458" w:rsidRDefault="00E81026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lastRenderedPageBreak/>
              <w:t>Key Stage 2 attainment:</w:t>
            </w:r>
          </w:p>
          <w:p w14:paraId="535FF386" w14:textId="6CE00EF9" w:rsidR="00E81026" w:rsidRPr="00A60ECF" w:rsidRDefault="00E81026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0E38BE" w14:textId="77777777" w:rsidR="00814458" w:rsidRPr="004E5349" w:rsidRDefault="00814458" w:rsidP="00947CF2">
            <w:pPr>
              <w:spacing w:after="0" w:line="240" w:lineRule="auto"/>
              <w:ind w:left="187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3A39B6D" w14:textId="3B47FEF2" w:rsidR="00814458" w:rsidRPr="00A8709B" w:rsidRDefault="00814458" w:rsidP="00947CF2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814458" w:rsidRPr="00B80272" w14:paraId="1A4798F4" w14:textId="77777777" w:rsidTr="006431E0">
        <w:trPr>
          <w:trHeight w:val="307"/>
        </w:trPr>
        <w:tc>
          <w:tcPr>
            <w:tcW w:w="8046" w:type="dxa"/>
            <w:gridSpan w:val="3"/>
            <w:tcMar>
              <w:top w:w="57" w:type="dxa"/>
              <w:bottom w:w="57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885"/>
              <w:gridCol w:w="1999"/>
              <w:gridCol w:w="1956"/>
            </w:tblGrid>
            <w:tr w:rsidR="000A2D6A" w14:paraId="64363125" w14:textId="77777777" w:rsidTr="00355794">
              <w:tc>
                <w:tcPr>
                  <w:tcW w:w="1980" w:type="dxa"/>
                </w:tcPr>
                <w:p w14:paraId="0A5D287B" w14:textId="77777777" w:rsidR="000A2D6A" w:rsidRDefault="000A2D6A" w:rsidP="000A2D6A"/>
              </w:tc>
              <w:tc>
                <w:tcPr>
                  <w:tcW w:w="1885" w:type="dxa"/>
                  <w:vAlign w:val="center"/>
                </w:tcPr>
                <w:p w14:paraId="32E6AE22" w14:textId="77777777" w:rsidR="000A2D6A" w:rsidRDefault="000A2D6A" w:rsidP="000A2D6A">
                  <w:pPr>
                    <w:jc w:val="center"/>
                  </w:pPr>
                  <w:r>
                    <w:t>At</w:t>
                  </w:r>
                </w:p>
              </w:tc>
              <w:tc>
                <w:tcPr>
                  <w:tcW w:w="1999" w:type="dxa"/>
                  <w:vAlign w:val="center"/>
                </w:tcPr>
                <w:p w14:paraId="56B311B6" w14:textId="77777777" w:rsidR="000A2D6A" w:rsidRDefault="000A2D6A" w:rsidP="000A2D6A">
                  <w:pPr>
                    <w:jc w:val="center"/>
                  </w:pPr>
                  <w:r>
                    <w:t>Greater Depth</w:t>
                  </w:r>
                </w:p>
              </w:tc>
              <w:tc>
                <w:tcPr>
                  <w:tcW w:w="1956" w:type="dxa"/>
                  <w:vAlign w:val="center"/>
                </w:tcPr>
                <w:p w14:paraId="2EBB5846" w14:textId="77777777" w:rsidR="000A2D6A" w:rsidRDefault="000A2D6A" w:rsidP="000A2D6A">
                  <w:pPr>
                    <w:jc w:val="center"/>
                  </w:pPr>
                  <w:r>
                    <w:t>Prog</w:t>
                  </w:r>
                </w:p>
              </w:tc>
            </w:tr>
            <w:tr w:rsidR="000A2D6A" w14:paraId="3B30B33D" w14:textId="77777777" w:rsidTr="00355794">
              <w:tc>
                <w:tcPr>
                  <w:tcW w:w="1980" w:type="dxa"/>
                </w:tcPr>
                <w:p w14:paraId="0E084FBB" w14:textId="77777777" w:rsidR="000A2D6A" w:rsidRDefault="000A2D6A" w:rsidP="000A2D6A">
                  <w:r>
                    <w:t>R – WP PP</w:t>
                  </w:r>
                </w:p>
              </w:tc>
              <w:tc>
                <w:tcPr>
                  <w:tcW w:w="1885" w:type="dxa"/>
                  <w:vAlign w:val="center"/>
                </w:tcPr>
                <w:p w14:paraId="6FE77300" w14:textId="77777777" w:rsidR="000A2D6A" w:rsidRDefault="000A2D6A" w:rsidP="000A2D6A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1999" w:type="dxa"/>
                  <w:vAlign w:val="center"/>
                </w:tcPr>
                <w:p w14:paraId="1D33BE70" w14:textId="77777777" w:rsidR="000A2D6A" w:rsidRDefault="000A2D6A" w:rsidP="000A2D6A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956" w:type="dxa"/>
                  <w:vAlign w:val="center"/>
                </w:tcPr>
                <w:p w14:paraId="651D96D7" w14:textId="77777777" w:rsidR="000A2D6A" w:rsidRDefault="000A2D6A" w:rsidP="000A2D6A">
                  <w:pPr>
                    <w:jc w:val="center"/>
                  </w:pPr>
                  <w:r>
                    <w:t>-1.55</w:t>
                  </w:r>
                </w:p>
              </w:tc>
            </w:tr>
            <w:tr w:rsidR="000A2D6A" w14:paraId="506CBCB1" w14:textId="77777777" w:rsidTr="00355794">
              <w:tc>
                <w:tcPr>
                  <w:tcW w:w="1980" w:type="dxa"/>
                </w:tcPr>
                <w:p w14:paraId="7C72FF5E" w14:textId="77777777" w:rsidR="000A2D6A" w:rsidRDefault="000A2D6A" w:rsidP="000A2D6A">
                  <w:r>
                    <w:t>R – WP Cohort</w:t>
                  </w:r>
                </w:p>
              </w:tc>
              <w:tc>
                <w:tcPr>
                  <w:tcW w:w="1885" w:type="dxa"/>
                  <w:vAlign w:val="center"/>
                </w:tcPr>
                <w:p w14:paraId="62BBA4D2" w14:textId="77777777" w:rsidR="000A2D6A" w:rsidRDefault="000A2D6A" w:rsidP="000A2D6A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999" w:type="dxa"/>
                  <w:vAlign w:val="center"/>
                </w:tcPr>
                <w:p w14:paraId="53AEE6E0" w14:textId="77777777" w:rsidR="000A2D6A" w:rsidRDefault="000A2D6A" w:rsidP="000A2D6A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956" w:type="dxa"/>
                  <w:vAlign w:val="center"/>
                </w:tcPr>
                <w:p w14:paraId="77DC105D" w14:textId="77777777" w:rsidR="000A2D6A" w:rsidRDefault="000A2D6A" w:rsidP="000A2D6A">
                  <w:pPr>
                    <w:jc w:val="center"/>
                  </w:pPr>
                  <w:r>
                    <w:t>-0.1</w:t>
                  </w:r>
                </w:p>
              </w:tc>
            </w:tr>
            <w:tr w:rsidR="000A2D6A" w14:paraId="64EFCACF" w14:textId="77777777" w:rsidTr="00355794">
              <w:tc>
                <w:tcPr>
                  <w:tcW w:w="1980" w:type="dxa"/>
                </w:tcPr>
                <w:p w14:paraId="52949E5C" w14:textId="77777777" w:rsidR="000A2D6A" w:rsidRDefault="000A2D6A" w:rsidP="000A2D6A">
                  <w:r>
                    <w:t>W – WP PP</w:t>
                  </w:r>
                </w:p>
              </w:tc>
              <w:tc>
                <w:tcPr>
                  <w:tcW w:w="1885" w:type="dxa"/>
                  <w:vAlign w:val="center"/>
                </w:tcPr>
                <w:p w14:paraId="2A8C06A4" w14:textId="77777777" w:rsidR="000A2D6A" w:rsidRDefault="000A2D6A" w:rsidP="000A2D6A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1999" w:type="dxa"/>
                  <w:vAlign w:val="center"/>
                </w:tcPr>
                <w:p w14:paraId="58E78589" w14:textId="77777777" w:rsidR="000A2D6A" w:rsidRDefault="000A2D6A" w:rsidP="000A2D6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956" w:type="dxa"/>
                  <w:vAlign w:val="center"/>
                </w:tcPr>
                <w:p w14:paraId="44FACF4E" w14:textId="77777777" w:rsidR="000A2D6A" w:rsidRDefault="000A2D6A" w:rsidP="000A2D6A">
                  <w:pPr>
                    <w:jc w:val="center"/>
                  </w:pPr>
                  <w:r>
                    <w:t>+1.56</w:t>
                  </w:r>
                </w:p>
              </w:tc>
            </w:tr>
            <w:tr w:rsidR="000A2D6A" w14:paraId="3321BB3F" w14:textId="77777777" w:rsidTr="00355794">
              <w:tc>
                <w:tcPr>
                  <w:tcW w:w="1980" w:type="dxa"/>
                </w:tcPr>
                <w:p w14:paraId="783D74CA" w14:textId="77777777" w:rsidR="000A2D6A" w:rsidRDefault="000A2D6A" w:rsidP="000A2D6A">
                  <w:r>
                    <w:t>W – WP Cohort</w:t>
                  </w:r>
                </w:p>
              </w:tc>
              <w:tc>
                <w:tcPr>
                  <w:tcW w:w="1885" w:type="dxa"/>
                  <w:vAlign w:val="center"/>
                </w:tcPr>
                <w:p w14:paraId="68B659FF" w14:textId="77777777" w:rsidR="000A2D6A" w:rsidRDefault="000A2D6A" w:rsidP="000A2D6A">
                  <w:pPr>
                    <w:jc w:val="center"/>
                  </w:pPr>
                  <w:r>
                    <w:t>93</w:t>
                  </w:r>
                </w:p>
              </w:tc>
              <w:tc>
                <w:tcPr>
                  <w:tcW w:w="1999" w:type="dxa"/>
                  <w:vAlign w:val="center"/>
                </w:tcPr>
                <w:p w14:paraId="36A78C24" w14:textId="77777777" w:rsidR="000A2D6A" w:rsidRDefault="000A2D6A" w:rsidP="000A2D6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956" w:type="dxa"/>
                  <w:vAlign w:val="center"/>
                </w:tcPr>
                <w:p w14:paraId="54B80842" w14:textId="77777777" w:rsidR="000A2D6A" w:rsidRDefault="000A2D6A" w:rsidP="000A2D6A">
                  <w:pPr>
                    <w:jc w:val="center"/>
                  </w:pPr>
                  <w:r>
                    <w:t>+2.4</w:t>
                  </w:r>
                </w:p>
              </w:tc>
            </w:tr>
            <w:tr w:rsidR="000A2D6A" w14:paraId="6C4B2050" w14:textId="77777777" w:rsidTr="00355794">
              <w:tc>
                <w:tcPr>
                  <w:tcW w:w="1980" w:type="dxa"/>
                </w:tcPr>
                <w:p w14:paraId="3399B5D5" w14:textId="77777777" w:rsidR="000A2D6A" w:rsidRDefault="000A2D6A" w:rsidP="000A2D6A">
                  <w:r>
                    <w:t>M – WP PP</w:t>
                  </w:r>
                </w:p>
              </w:tc>
              <w:tc>
                <w:tcPr>
                  <w:tcW w:w="1885" w:type="dxa"/>
                  <w:vAlign w:val="center"/>
                </w:tcPr>
                <w:p w14:paraId="2AE1768F" w14:textId="77777777" w:rsidR="000A2D6A" w:rsidRDefault="000A2D6A" w:rsidP="000A2D6A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1999" w:type="dxa"/>
                  <w:vAlign w:val="center"/>
                </w:tcPr>
                <w:p w14:paraId="268E1F0C" w14:textId="77777777" w:rsidR="000A2D6A" w:rsidRDefault="000A2D6A" w:rsidP="000A2D6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956" w:type="dxa"/>
                  <w:vAlign w:val="center"/>
                </w:tcPr>
                <w:p w14:paraId="3549D3B2" w14:textId="77777777" w:rsidR="000A2D6A" w:rsidRDefault="000A2D6A" w:rsidP="000A2D6A">
                  <w:pPr>
                    <w:jc w:val="center"/>
                  </w:pPr>
                  <w:r>
                    <w:t>+1.34</w:t>
                  </w:r>
                </w:p>
              </w:tc>
            </w:tr>
            <w:tr w:rsidR="000A2D6A" w14:paraId="6515452A" w14:textId="77777777" w:rsidTr="00355794">
              <w:tc>
                <w:tcPr>
                  <w:tcW w:w="1980" w:type="dxa"/>
                </w:tcPr>
                <w:p w14:paraId="3328BD45" w14:textId="77777777" w:rsidR="000A2D6A" w:rsidRDefault="000A2D6A" w:rsidP="000A2D6A">
                  <w:r>
                    <w:t>M – WP Cohort</w:t>
                  </w:r>
                </w:p>
              </w:tc>
              <w:tc>
                <w:tcPr>
                  <w:tcW w:w="1885" w:type="dxa"/>
                  <w:vAlign w:val="center"/>
                </w:tcPr>
                <w:p w14:paraId="3CF1C53A" w14:textId="77777777" w:rsidR="000A2D6A" w:rsidRDefault="000A2D6A" w:rsidP="000A2D6A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1999" w:type="dxa"/>
                  <w:vAlign w:val="center"/>
                </w:tcPr>
                <w:p w14:paraId="22280EA6" w14:textId="77777777" w:rsidR="000A2D6A" w:rsidRDefault="000A2D6A" w:rsidP="000A2D6A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956" w:type="dxa"/>
                  <w:vAlign w:val="center"/>
                </w:tcPr>
                <w:p w14:paraId="75C6C234" w14:textId="77777777" w:rsidR="000A2D6A" w:rsidRDefault="000A2D6A" w:rsidP="000A2D6A">
                  <w:pPr>
                    <w:jc w:val="center"/>
                  </w:pPr>
                  <w:r>
                    <w:t>+0.9</w:t>
                  </w:r>
                </w:p>
              </w:tc>
            </w:tr>
          </w:tbl>
          <w:p w14:paraId="05B4A7EC" w14:textId="6AAB5E91"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9AB025" w14:textId="742F59FD" w:rsidR="00814458" w:rsidRPr="004E5349" w:rsidRDefault="00814458" w:rsidP="00947CF2">
            <w:pPr>
              <w:spacing w:after="0" w:line="240" w:lineRule="auto"/>
              <w:ind w:left="187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F646A1D" w14:textId="540C5CB5" w:rsidR="00814458" w:rsidRPr="00A8709B" w:rsidRDefault="00814458" w:rsidP="00947CF2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  <w:tr w:rsidR="00814458" w:rsidRPr="00B80272" w14:paraId="52841743" w14:textId="77777777" w:rsidTr="006431E0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340A844" w14:textId="31BB947B"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814458" w:rsidRPr="00B80272" w14:paraId="62125F6C" w14:textId="77777777" w:rsidTr="006431E0">
        <w:trPr>
          <w:trHeight w:val="264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D96ED17" w14:textId="66BC1E72" w:rsidR="00814458" w:rsidRPr="00C00F3C" w:rsidRDefault="00814458" w:rsidP="00B13B8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In-school</w:t>
            </w:r>
            <w:r w:rsidRPr="00C00F3C">
              <w:rPr>
                <w:rFonts w:cs="Arial"/>
                <w:b/>
              </w:rPr>
              <w:t xml:space="preserve"> barriers </w:t>
            </w:r>
          </w:p>
        </w:tc>
      </w:tr>
      <w:tr w:rsidR="00814458" w:rsidRPr="00B80272" w14:paraId="61DA25F6" w14:textId="77777777" w:rsidTr="006431E0"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14:paraId="75E3AACB" w14:textId="77777777" w:rsidR="00814458" w:rsidRPr="00765EFB" w:rsidRDefault="00814458" w:rsidP="00497D2D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3"/>
          </w:tcPr>
          <w:p w14:paraId="3A1C118D" w14:textId="18CBDE29" w:rsidR="00814458" w:rsidRPr="00C00F3C" w:rsidRDefault="00A33690" w:rsidP="00A33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Pupils’ understanding of the vocabulary that they encounter in the challenging texts that we provide.</w:t>
            </w:r>
          </w:p>
        </w:tc>
      </w:tr>
      <w:tr w:rsidR="00A11676" w:rsidRPr="00B80272" w14:paraId="1793BE3D" w14:textId="77777777" w:rsidTr="006431E0"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14:paraId="08EF431C" w14:textId="77777777" w:rsidR="00A11676" w:rsidRPr="00765EFB" w:rsidRDefault="00A11676" w:rsidP="00A11676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3"/>
          </w:tcPr>
          <w:p w14:paraId="5DEE3C7F" w14:textId="2520E010" w:rsidR="00A11676" w:rsidRPr="00C00F3C" w:rsidRDefault="00A33690" w:rsidP="00A33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Pupils’ ability to infer and deduct when encountering worded questions in Mathematics.</w:t>
            </w:r>
          </w:p>
        </w:tc>
      </w:tr>
      <w:tr w:rsidR="00A11676" w:rsidRPr="00B80272" w14:paraId="37EB4739" w14:textId="77777777" w:rsidTr="006431E0"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14:paraId="67D8B8F7" w14:textId="77777777" w:rsidR="00A11676" w:rsidRPr="00765EFB" w:rsidRDefault="00A11676" w:rsidP="00A11676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3"/>
          </w:tcPr>
          <w:p w14:paraId="003CCF59" w14:textId="1874991F" w:rsidR="00A11676" w:rsidRPr="00125BA7" w:rsidRDefault="00A33690" w:rsidP="00A33690">
            <w:pPr>
              <w:spacing w:after="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attendance of a minority of PP students is below our school targets.</w:t>
            </w:r>
          </w:p>
        </w:tc>
      </w:tr>
      <w:tr w:rsidR="00A11676" w:rsidRPr="00B80272" w14:paraId="3D725426" w14:textId="77777777" w:rsidTr="006431E0">
        <w:trPr>
          <w:trHeight w:val="174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57B7CE0" w14:textId="5999931D" w:rsidR="00A11676" w:rsidRPr="00C00F3C" w:rsidRDefault="00A11676" w:rsidP="00B13B8A">
            <w:pPr>
              <w:spacing w:after="0"/>
              <w:rPr>
                <w:rFonts w:cs="Arial"/>
                <w:b/>
              </w:rPr>
            </w:pPr>
            <w:r w:rsidRPr="00C00F3C">
              <w:rPr>
                <w:rFonts w:cs="Arial"/>
                <w:b/>
              </w:rPr>
              <w:t xml:space="preserve">External barriers </w:t>
            </w:r>
          </w:p>
        </w:tc>
      </w:tr>
      <w:tr w:rsidR="00A11676" w:rsidRPr="00B80272" w14:paraId="455EE8C8" w14:textId="77777777" w:rsidTr="006431E0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6613072D" w14:textId="16F623C7" w:rsidR="00A11676" w:rsidRPr="002962F2" w:rsidRDefault="004E687B" w:rsidP="00A11676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A11676">
              <w:rPr>
                <w:rFonts w:cs="Arial"/>
                <w:b/>
              </w:rPr>
              <w:t>.</w:t>
            </w:r>
            <w:r w:rsidR="00A11676" w:rsidRPr="002962F2">
              <w:rPr>
                <w:rFonts w:cs="Arial"/>
                <w:b/>
              </w:rPr>
              <w:t xml:space="preserve"> </w:t>
            </w:r>
          </w:p>
        </w:tc>
        <w:tc>
          <w:tcPr>
            <w:tcW w:w="14555" w:type="dxa"/>
            <w:gridSpan w:val="4"/>
          </w:tcPr>
          <w:p w14:paraId="03072D3B" w14:textId="3490F514" w:rsidR="00A11676" w:rsidRPr="00B80272" w:rsidRDefault="00D60502" w:rsidP="00A11676">
            <w:pPr>
              <w:spacing w:after="0" w:line="240" w:lineRule="auto"/>
              <w:rPr>
                <w:rFonts w:cs="Arial"/>
              </w:rPr>
            </w:pPr>
            <w:r>
              <w:t>Parental engagement of most PP pupils is lower than that of other parents</w:t>
            </w:r>
            <w:r w:rsidR="00A33690">
              <w:t>.</w:t>
            </w:r>
          </w:p>
        </w:tc>
      </w:tr>
      <w:tr w:rsidR="00A33690" w:rsidRPr="00B80272" w14:paraId="246ED085" w14:textId="77777777" w:rsidTr="006431E0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57971A6" w14:textId="302FEA29" w:rsidR="00A33690" w:rsidRDefault="00A33690" w:rsidP="00A33690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555" w:type="dxa"/>
            <w:gridSpan w:val="4"/>
          </w:tcPr>
          <w:p w14:paraId="2F09C246" w14:textId="0A00A020" w:rsidR="00A33690" w:rsidRDefault="00A33690" w:rsidP="00A33690">
            <w:pPr>
              <w:spacing w:after="0" w:line="240" w:lineRule="auto"/>
              <w:rPr>
                <w:rFonts w:cs="Arial"/>
              </w:rPr>
            </w:pPr>
            <w:r w:rsidRPr="00A33690">
              <w:rPr>
                <w:rFonts w:cs="Arial"/>
              </w:rPr>
              <w:t>Pupils lack of exposure to a wide range of enrichm</w:t>
            </w:r>
            <w:r>
              <w:rPr>
                <w:rFonts w:cs="Arial"/>
              </w:rPr>
              <w:t>ent activities that provide context for the curriculum.</w:t>
            </w:r>
          </w:p>
        </w:tc>
      </w:tr>
      <w:tr w:rsidR="00A33690" w:rsidRPr="00B80272" w14:paraId="278293F9" w14:textId="77777777" w:rsidTr="006431E0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30F375D" w14:textId="1F3E1780" w:rsidR="00A33690" w:rsidRDefault="00A33690" w:rsidP="00A33690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F.</w:t>
            </w:r>
          </w:p>
        </w:tc>
        <w:tc>
          <w:tcPr>
            <w:tcW w:w="14555" w:type="dxa"/>
            <w:gridSpan w:val="4"/>
          </w:tcPr>
          <w:p w14:paraId="49CBB8EF" w14:textId="0F96DCB2" w:rsidR="00A33690" w:rsidRDefault="00A33690" w:rsidP="00A33690">
            <w:pPr>
              <w:spacing w:after="0" w:line="240" w:lineRule="auto"/>
            </w:pPr>
            <w:r>
              <w:rPr>
                <w:rFonts w:cs="Arial"/>
              </w:rPr>
              <w:t>Access to a wide range of reading materials at home.</w:t>
            </w:r>
          </w:p>
        </w:tc>
      </w:tr>
    </w:tbl>
    <w:p w14:paraId="1517798E" w14:textId="77777777" w:rsidR="00DE25FC" w:rsidRDefault="00DE25FC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9933"/>
        <w:gridCol w:w="4667"/>
      </w:tblGrid>
      <w:tr w:rsidR="00A33690" w:rsidRPr="00B80272" w14:paraId="71F38CA0" w14:textId="77777777" w:rsidTr="006431E0">
        <w:tc>
          <w:tcPr>
            <w:tcW w:w="10750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61D7DC2C" w14:textId="2E6C8AD9" w:rsidR="00A33690" w:rsidRPr="009242F1" w:rsidRDefault="00A33690" w:rsidP="00A336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</w:t>
            </w:r>
            <w:r w:rsidRPr="009242F1">
              <w:rPr>
                <w:rFonts w:cs="Arial"/>
                <w:b/>
              </w:rPr>
              <w:t xml:space="preserve">utcomes </w:t>
            </w:r>
            <w:r w:rsidRPr="00703958">
              <w:rPr>
                <w:rFonts w:cs="Arial"/>
                <w:i/>
              </w:rPr>
              <w:t>(d</w:t>
            </w:r>
            <w:r w:rsidRPr="00A6273A">
              <w:rPr>
                <w:rFonts w:cs="Arial"/>
                <w:i/>
              </w:rPr>
              <w:t>esired outcome</w:t>
            </w:r>
            <w:r>
              <w:rPr>
                <w:rFonts w:cs="Arial"/>
                <w:i/>
              </w:rPr>
              <w:t>s and how they will be measured</w:t>
            </w:r>
            <w:r w:rsidRPr="00703958">
              <w:rPr>
                <w:rFonts w:cs="Arial"/>
                <w:i/>
              </w:rPr>
              <w:t>)</w:t>
            </w:r>
          </w:p>
        </w:tc>
        <w:tc>
          <w:tcPr>
            <w:tcW w:w="4667" w:type="dxa"/>
            <w:shd w:val="clear" w:color="auto" w:fill="CFDCE3"/>
          </w:tcPr>
          <w:p w14:paraId="73507DB5" w14:textId="0442F38E" w:rsidR="00A33690" w:rsidRPr="00703958" w:rsidRDefault="00A33690" w:rsidP="00A33690">
            <w:pPr>
              <w:spacing w:after="0" w:line="240" w:lineRule="auto"/>
              <w:rPr>
                <w:rFonts w:cs="Arial"/>
                <w:b/>
              </w:rPr>
            </w:pPr>
            <w:r w:rsidRPr="00703958">
              <w:rPr>
                <w:rFonts w:cs="Arial"/>
              </w:rPr>
              <w:t>Success criteria</w:t>
            </w:r>
          </w:p>
        </w:tc>
      </w:tr>
      <w:tr w:rsidR="00A33690" w:rsidRPr="00B80272" w14:paraId="00CC5AC2" w14:textId="77777777" w:rsidTr="006431E0">
        <w:trPr>
          <w:trHeight w:val="29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CACA70" w14:textId="77777777" w:rsidR="00A33690" w:rsidRPr="002962F2" w:rsidRDefault="00A33690" w:rsidP="00A3369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tcMar>
              <w:top w:w="57" w:type="dxa"/>
              <w:bottom w:w="57" w:type="dxa"/>
            </w:tcMar>
          </w:tcPr>
          <w:p w14:paraId="24C5171C" w14:textId="033834F4" w:rsidR="00A33690" w:rsidRPr="00B80272" w:rsidRDefault="00282321" w:rsidP="00282321">
            <w:pPr>
              <w:spacing w:after="0" w:line="240" w:lineRule="auto"/>
              <w:rPr>
                <w:rFonts w:cs="Arial"/>
              </w:rPr>
            </w:pPr>
            <w:r w:rsidRPr="00282321">
              <w:t>Pupils’ understanding of th</w:t>
            </w:r>
            <w:r>
              <w:t>e vocabulary that they encounter will be commensurate with the challenging texts provided.</w:t>
            </w:r>
          </w:p>
        </w:tc>
        <w:tc>
          <w:tcPr>
            <w:tcW w:w="4667" w:type="dxa"/>
          </w:tcPr>
          <w:p w14:paraId="740BF429" w14:textId="635373AB" w:rsidR="00282321" w:rsidRDefault="00282321" w:rsidP="00A33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KS2 results will reflect that PP students will attain and make at least the same progress as non-PP students in the vocabulary elements measure using QLA.</w:t>
            </w:r>
          </w:p>
          <w:p w14:paraId="1BCF9518" w14:textId="77777777" w:rsidR="00A33690" w:rsidRDefault="00282321" w:rsidP="00A33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AR and Star Reading data will show that PP students in all years’ groups are making rapid progress in their reading ages.</w:t>
            </w:r>
          </w:p>
          <w:p w14:paraId="7D729259" w14:textId="77777777" w:rsidR="00963850" w:rsidRDefault="00963850" w:rsidP="00A33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GL Data will show that PP students are making accelerated progress in their read score compared to non-PP students.</w:t>
            </w:r>
          </w:p>
          <w:p w14:paraId="381460A5" w14:textId="66E1B4C7" w:rsidR="00BF39CA" w:rsidRPr="00B80272" w:rsidRDefault="00BF39CA" w:rsidP="00A33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Intervention records will show the impact of vocabulary strategies being implemented.</w:t>
            </w:r>
          </w:p>
        </w:tc>
      </w:tr>
      <w:tr w:rsidR="00A33690" w:rsidRPr="00B80272" w14:paraId="02B31BF4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AC27C86" w14:textId="77777777" w:rsidR="00A33690" w:rsidRPr="002962F2" w:rsidRDefault="00A33690" w:rsidP="00A3369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tcMar>
              <w:top w:w="57" w:type="dxa"/>
              <w:bottom w:w="57" w:type="dxa"/>
            </w:tcMar>
          </w:tcPr>
          <w:p w14:paraId="522FF56D" w14:textId="3872514B" w:rsidR="00A33690" w:rsidRPr="00DB41D3" w:rsidRDefault="00963850" w:rsidP="008F2CF7">
            <w:pPr>
              <w:spacing w:after="0" w:line="240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Pupils will have the ability </w:t>
            </w:r>
            <w:r w:rsidRPr="00963850">
              <w:rPr>
                <w:rFonts w:cs="Arial"/>
              </w:rPr>
              <w:t xml:space="preserve">to infer and </w:t>
            </w:r>
            <w:r w:rsidR="008F2CF7">
              <w:rPr>
                <w:rFonts w:cs="Arial"/>
              </w:rPr>
              <w:t>deduce</w:t>
            </w:r>
            <w:r w:rsidRPr="00963850">
              <w:rPr>
                <w:rFonts w:cs="Arial"/>
              </w:rPr>
              <w:t xml:space="preserve"> when encountering worded questions in Mathematics.</w:t>
            </w:r>
          </w:p>
        </w:tc>
        <w:tc>
          <w:tcPr>
            <w:tcW w:w="4667" w:type="dxa"/>
          </w:tcPr>
          <w:p w14:paraId="6DAF21E5" w14:textId="77777777" w:rsidR="00A33690" w:rsidRDefault="00963850" w:rsidP="00963850">
            <w:pPr>
              <w:spacing w:after="0" w:line="240" w:lineRule="auto"/>
              <w:rPr>
                <w:rFonts w:cs="Arial"/>
              </w:rPr>
            </w:pPr>
            <w:r w:rsidRPr="00963850">
              <w:rPr>
                <w:rFonts w:cs="Arial"/>
              </w:rPr>
              <w:t xml:space="preserve">KS2 </w:t>
            </w:r>
            <w:r>
              <w:rPr>
                <w:rFonts w:cs="Arial"/>
              </w:rPr>
              <w:t>reasoning paper results will show that PP students are able to access and successfully answer the questions at least as well as non-PP students using QLA.</w:t>
            </w:r>
          </w:p>
          <w:p w14:paraId="14E72640" w14:textId="444A5405" w:rsidR="00963850" w:rsidRPr="00DB41D3" w:rsidRDefault="00963850" w:rsidP="00963850">
            <w:pPr>
              <w:spacing w:after="0" w:line="240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Assertive mentor tests will show that </w:t>
            </w:r>
            <w:r w:rsidRPr="00963850">
              <w:rPr>
                <w:rFonts w:cs="Arial"/>
              </w:rPr>
              <w:t xml:space="preserve">PP students are able to access and successfully answer the </w:t>
            </w:r>
            <w:r>
              <w:rPr>
                <w:rFonts w:cs="Arial"/>
              </w:rPr>
              <w:t xml:space="preserve">reasoning paper </w:t>
            </w:r>
            <w:r w:rsidRPr="00963850">
              <w:rPr>
                <w:rFonts w:cs="Arial"/>
              </w:rPr>
              <w:t>questions at least as well as non-PP students using QLA.</w:t>
            </w:r>
          </w:p>
        </w:tc>
      </w:tr>
      <w:tr w:rsidR="00A33690" w:rsidRPr="00B80272" w14:paraId="6834F9B6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2C4403AF" w14:textId="77777777" w:rsidR="00A33690" w:rsidRPr="002962F2" w:rsidRDefault="00A33690" w:rsidP="00A3369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tcMar>
              <w:top w:w="57" w:type="dxa"/>
              <w:bottom w:w="57" w:type="dxa"/>
            </w:tcMar>
          </w:tcPr>
          <w:p w14:paraId="484E1237" w14:textId="4B987CC5" w:rsidR="00A33690" w:rsidRPr="00B80272" w:rsidRDefault="00963850" w:rsidP="008F2CF7">
            <w:pPr>
              <w:spacing w:after="0" w:line="240" w:lineRule="auto"/>
              <w:rPr>
                <w:rFonts w:cs="Arial"/>
              </w:rPr>
            </w:pPr>
            <w:r w:rsidRPr="00963850">
              <w:rPr>
                <w:rFonts w:cs="Arial"/>
              </w:rPr>
              <w:t xml:space="preserve">The attendance of PP students </w:t>
            </w:r>
            <w:r w:rsidR="008F2CF7">
              <w:rPr>
                <w:rFonts w:cs="Arial"/>
              </w:rPr>
              <w:t xml:space="preserve">will be in line with </w:t>
            </w:r>
            <w:r w:rsidRPr="00963850">
              <w:rPr>
                <w:rFonts w:cs="Arial"/>
              </w:rPr>
              <w:t>our school targets.</w:t>
            </w:r>
          </w:p>
        </w:tc>
        <w:tc>
          <w:tcPr>
            <w:tcW w:w="4667" w:type="dxa"/>
          </w:tcPr>
          <w:p w14:paraId="761D96F4" w14:textId="021EFCBE" w:rsidR="00A33690" w:rsidRPr="00B80272" w:rsidRDefault="00432E6E" w:rsidP="00432E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PP students’ attendance will be in line with whole school target of 96%. </w:t>
            </w:r>
          </w:p>
        </w:tc>
      </w:tr>
      <w:tr w:rsidR="00A33690" w:rsidRPr="00B80272" w14:paraId="49BD6730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535CAAAF" w14:textId="77777777" w:rsidR="00A33690" w:rsidRPr="002962F2" w:rsidRDefault="00A33690" w:rsidP="00A3369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tcMar>
              <w:top w:w="57" w:type="dxa"/>
              <w:bottom w:w="57" w:type="dxa"/>
            </w:tcMar>
          </w:tcPr>
          <w:p w14:paraId="250CE72C" w14:textId="45CB60E0" w:rsidR="00A33690" w:rsidRPr="00B80272" w:rsidRDefault="00963850" w:rsidP="00FA5ACB">
            <w:pPr>
              <w:spacing w:after="0" w:line="240" w:lineRule="auto"/>
              <w:rPr>
                <w:rFonts w:cs="Arial"/>
              </w:rPr>
            </w:pPr>
            <w:r w:rsidRPr="00963850">
              <w:rPr>
                <w:rFonts w:cs="Arial"/>
              </w:rPr>
              <w:t xml:space="preserve">Parental engagement of PP </w:t>
            </w:r>
            <w:r w:rsidR="00FA5ACB">
              <w:rPr>
                <w:rFonts w:cs="Arial"/>
              </w:rPr>
              <w:t>parents will be in line with that of non-PP parents</w:t>
            </w:r>
            <w:r w:rsidRPr="00963850">
              <w:rPr>
                <w:rFonts w:cs="Arial"/>
              </w:rPr>
              <w:t>.</w:t>
            </w:r>
          </w:p>
        </w:tc>
        <w:tc>
          <w:tcPr>
            <w:tcW w:w="4667" w:type="dxa"/>
          </w:tcPr>
          <w:p w14:paraId="0B94C282" w14:textId="55B20D20" w:rsidR="00A33690" w:rsidRDefault="007F53F7" w:rsidP="007F53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There will be increased attendance of PP parents at parents’ evenings.</w:t>
            </w:r>
          </w:p>
          <w:p w14:paraId="33DD52DC" w14:textId="77777777" w:rsidR="007F53F7" w:rsidRDefault="007F53F7" w:rsidP="007F53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There will be an increased attendance of PP at parents at PP parental consultations.</w:t>
            </w:r>
          </w:p>
          <w:p w14:paraId="7B0D5687" w14:textId="1F8525F6" w:rsidR="00835D60" w:rsidRPr="00B80272" w:rsidRDefault="00835D60" w:rsidP="007F53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Attendance of PP parents at a range of whole school events will be at least in line with non-PP parents.</w:t>
            </w:r>
          </w:p>
        </w:tc>
      </w:tr>
      <w:tr w:rsidR="00A33690" w:rsidRPr="00B80272" w14:paraId="140B44CE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4BBF6BD3" w14:textId="77777777" w:rsidR="00A33690" w:rsidRPr="002962F2" w:rsidRDefault="00A33690" w:rsidP="00A3369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tcMar>
              <w:top w:w="57" w:type="dxa"/>
              <w:bottom w:w="57" w:type="dxa"/>
            </w:tcMar>
          </w:tcPr>
          <w:p w14:paraId="0998577F" w14:textId="573B2CF8" w:rsidR="00A33690" w:rsidRDefault="00FA5ACB" w:rsidP="00FA5ACB">
            <w:pPr>
              <w:spacing w:after="0" w:line="240" w:lineRule="auto"/>
            </w:pPr>
            <w:r>
              <w:t>PP students</w:t>
            </w:r>
            <w:r w:rsidR="00963850" w:rsidRPr="00963850">
              <w:t xml:space="preserve"> </w:t>
            </w:r>
            <w:r>
              <w:t>will be exposed</w:t>
            </w:r>
            <w:r w:rsidR="00963850" w:rsidRPr="00963850">
              <w:t xml:space="preserve"> to a wide range of enrichment activities that provide context for the curriculum.</w:t>
            </w:r>
          </w:p>
        </w:tc>
        <w:tc>
          <w:tcPr>
            <w:tcW w:w="4667" w:type="dxa"/>
          </w:tcPr>
          <w:p w14:paraId="34614E72" w14:textId="6C75EB08" w:rsidR="00A33690" w:rsidRDefault="00FA5ACB" w:rsidP="00A33690">
            <w:pPr>
              <w:spacing w:after="0" w:line="240" w:lineRule="auto"/>
            </w:pPr>
            <w:r>
              <w:t>A high percentage of PP students will attend a wide range of enrichment activities.</w:t>
            </w:r>
          </w:p>
        </w:tc>
      </w:tr>
      <w:tr w:rsidR="00963850" w:rsidRPr="00B80272" w14:paraId="61CD5CD4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490117C4" w14:textId="77777777" w:rsidR="00963850" w:rsidRPr="002962F2" w:rsidRDefault="00963850" w:rsidP="00A33690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tcMar>
              <w:top w:w="57" w:type="dxa"/>
              <w:bottom w:w="57" w:type="dxa"/>
            </w:tcMar>
          </w:tcPr>
          <w:p w14:paraId="49F9A187" w14:textId="3D8A5E89" w:rsidR="00963850" w:rsidRPr="00963850" w:rsidRDefault="008F2CF7" w:rsidP="008F2CF7">
            <w:pPr>
              <w:spacing w:after="0" w:line="240" w:lineRule="auto"/>
            </w:pPr>
            <w:r>
              <w:t>PP students will have a</w:t>
            </w:r>
            <w:r w:rsidR="00963850" w:rsidRPr="00963850">
              <w:t>ccess to a wide range of reading materials at home.</w:t>
            </w:r>
          </w:p>
        </w:tc>
        <w:tc>
          <w:tcPr>
            <w:tcW w:w="4667" w:type="dxa"/>
          </w:tcPr>
          <w:p w14:paraId="08B6A465" w14:textId="1F5980FE" w:rsidR="00963850" w:rsidRDefault="008F2CF7" w:rsidP="008F2CF7">
            <w:pPr>
              <w:spacing w:after="0" w:line="240" w:lineRule="auto"/>
            </w:pPr>
            <w:r>
              <w:t>PP students’ reading records will show that they are reading regularly.</w:t>
            </w:r>
          </w:p>
        </w:tc>
      </w:tr>
    </w:tbl>
    <w:p w14:paraId="57ED8978" w14:textId="183B90D1" w:rsidR="00567274" w:rsidRDefault="00567274" w:rsidP="00567274">
      <w:pPr>
        <w:spacing w:after="0" w:line="240" w:lineRule="auto"/>
        <w:rPr>
          <w:b/>
        </w:rPr>
      </w:pPr>
    </w:p>
    <w:p w14:paraId="458A80A1" w14:textId="77777777" w:rsidR="00DE25FC" w:rsidRDefault="00DE25FC" w:rsidP="00567274">
      <w:pPr>
        <w:spacing w:after="0" w:line="240" w:lineRule="auto"/>
        <w:rPr>
          <w:b/>
        </w:rPr>
      </w:pPr>
    </w:p>
    <w:p w14:paraId="14114860" w14:textId="66BF63A9" w:rsidR="00C36D4E" w:rsidRDefault="005F3A96" w:rsidP="00567274">
      <w:pPr>
        <w:spacing w:after="0" w:line="240" w:lineRule="auto"/>
        <w:rPr>
          <w:b/>
        </w:rPr>
      </w:pPr>
      <w:r>
        <w:rPr>
          <w:b/>
        </w:rPr>
        <w:t>Our</w:t>
      </w:r>
      <w:r w:rsidR="00C36D4E" w:rsidRPr="00B13B8A">
        <w:rPr>
          <w:b/>
        </w:rPr>
        <w:t xml:space="preserve"> key priorities </w:t>
      </w:r>
      <w:r>
        <w:rPr>
          <w:b/>
        </w:rPr>
        <w:t>for Pupil Premium students</w:t>
      </w:r>
      <w:r w:rsidR="00C36D4E" w:rsidRPr="00B13B8A">
        <w:rPr>
          <w:b/>
        </w:rPr>
        <w:t xml:space="preserve"> </w:t>
      </w:r>
      <w:r>
        <w:rPr>
          <w:b/>
        </w:rPr>
        <w:t>are</w:t>
      </w:r>
      <w:r w:rsidR="00C36D4E" w:rsidRPr="00B13B8A">
        <w:rPr>
          <w:b/>
        </w:rPr>
        <w:t>:</w:t>
      </w:r>
    </w:p>
    <w:p w14:paraId="575F370A" w14:textId="77777777" w:rsidR="00DE25FC" w:rsidRPr="00B13B8A" w:rsidRDefault="00DE25FC" w:rsidP="00567274">
      <w:pPr>
        <w:spacing w:after="0" w:line="240" w:lineRule="auto"/>
        <w:rPr>
          <w:b/>
        </w:rPr>
      </w:pPr>
    </w:p>
    <w:p w14:paraId="15DDE07F" w14:textId="4E3E5F6D" w:rsidR="00C36D4E" w:rsidRPr="00B13B8A" w:rsidRDefault="00C36D4E" w:rsidP="00C36D4E">
      <w:pPr>
        <w:pStyle w:val="ListParagraph"/>
        <w:numPr>
          <w:ilvl w:val="0"/>
          <w:numId w:val="37"/>
        </w:numPr>
        <w:rPr>
          <w:b/>
        </w:rPr>
      </w:pPr>
      <w:r w:rsidRPr="00B13B8A">
        <w:rPr>
          <w:b/>
        </w:rPr>
        <w:t xml:space="preserve">To close the </w:t>
      </w:r>
      <w:r w:rsidR="005F3A96">
        <w:rPr>
          <w:b/>
        </w:rPr>
        <w:t>attainment</w:t>
      </w:r>
      <w:r w:rsidRPr="00B13B8A">
        <w:rPr>
          <w:b/>
        </w:rPr>
        <w:t xml:space="preserve"> gap for students entitled to the Pupil Premium acro</w:t>
      </w:r>
      <w:r w:rsidR="00AA2598">
        <w:rPr>
          <w:b/>
        </w:rPr>
        <w:t>ss all subjects and year groups, with a particular focus on reading.</w:t>
      </w:r>
    </w:p>
    <w:p w14:paraId="091AA89F" w14:textId="28DCFB2E" w:rsidR="00C36D4E" w:rsidRPr="00B13B8A" w:rsidRDefault="005F3A96" w:rsidP="00C36D4E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To provide e</w:t>
      </w:r>
      <w:r w:rsidR="00C36D4E" w:rsidRPr="00B13B8A">
        <w:rPr>
          <w:b/>
        </w:rPr>
        <w:t>xcellent teaching, including effective collection, analysis and use of data- frequent monitoring of the progress of every PP student; appropriate curriculum and teacher/staff deployment; early intervention, personalised and small group provision.</w:t>
      </w:r>
    </w:p>
    <w:p w14:paraId="45F22AF7" w14:textId="0E80341E" w:rsidR="00567274" w:rsidRDefault="005F3A96" w:rsidP="00A54296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To overcome</w:t>
      </w:r>
      <w:r w:rsidR="00C36D4E" w:rsidRPr="00B13B8A">
        <w:rPr>
          <w:b/>
        </w:rPr>
        <w:t xml:space="preserve"> barriers to learning: precise identification and intervention to increase attendance, improve engagement with PP parents and broaden PP students</w:t>
      </w:r>
      <w:r>
        <w:rPr>
          <w:b/>
        </w:rPr>
        <w:t>’</w:t>
      </w:r>
      <w:r w:rsidR="00C36D4E" w:rsidRPr="00B13B8A">
        <w:rPr>
          <w:b/>
        </w:rPr>
        <w:t xml:space="preserve"> school experience through enrichment, educational trips and an as</w:t>
      </w:r>
      <w:r w:rsidR="00AA2598">
        <w:rPr>
          <w:b/>
        </w:rPr>
        <w:t>pirational learning environment.</w:t>
      </w:r>
    </w:p>
    <w:p w14:paraId="675C1E04" w14:textId="1C3DF955" w:rsidR="00DE25FC" w:rsidRDefault="00DE25FC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616"/>
        <w:gridCol w:w="463"/>
        <w:gridCol w:w="3772"/>
        <w:gridCol w:w="3492"/>
        <w:gridCol w:w="1808"/>
        <w:gridCol w:w="3012"/>
      </w:tblGrid>
      <w:tr w:rsidR="00814458" w14:paraId="7ED392AF" w14:textId="77777777" w:rsidTr="005F7AE0">
        <w:tc>
          <w:tcPr>
            <w:tcW w:w="15163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22C76BB" w14:textId="43BFC683" w:rsidR="00814458" w:rsidRPr="009242F1" w:rsidRDefault="00703958" w:rsidP="00497D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lastRenderedPageBreak/>
              <w:br w:type="page"/>
            </w:r>
            <w:r w:rsidR="00A14D88">
              <w:rPr>
                <w:rFonts w:cs="Arial"/>
                <w:b/>
              </w:rPr>
              <w:t>Review of</w:t>
            </w:r>
            <w:r w:rsidR="00814458" w:rsidRPr="009242F1">
              <w:rPr>
                <w:rFonts w:cs="Arial"/>
                <w:b/>
              </w:rPr>
              <w:t xml:space="preserve"> expenditure </w:t>
            </w:r>
          </w:p>
        </w:tc>
      </w:tr>
      <w:tr w:rsidR="00814458" w14:paraId="09CEF42D" w14:textId="77777777" w:rsidTr="005F7AE0">
        <w:tc>
          <w:tcPr>
            <w:tcW w:w="2616" w:type="dxa"/>
            <w:shd w:val="clear" w:color="auto" w:fill="auto"/>
            <w:tcMar>
              <w:top w:w="57" w:type="dxa"/>
              <w:bottom w:w="57" w:type="dxa"/>
            </w:tcMar>
          </w:tcPr>
          <w:p w14:paraId="15AF50F8" w14:textId="77777777" w:rsidR="00814458" w:rsidRPr="006D447D" w:rsidRDefault="00814458" w:rsidP="00497D2D">
            <w:pPr>
              <w:pStyle w:val="ListParagraph"/>
              <w:spacing w:after="0" w:line="240" w:lineRule="auto"/>
              <w:ind w:left="0" w:hanging="357"/>
              <w:contextualSpacing w:val="0"/>
              <w:rPr>
                <w:rFonts w:cs="Arial"/>
                <w:b/>
              </w:rPr>
            </w:pPr>
            <w:r w:rsidRPr="00A60ECF">
              <w:rPr>
                <w:rFonts w:cs="Arial"/>
                <w:b/>
              </w:rPr>
              <w:t>Academic year</w:t>
            </w:r>
          </w:p>
        </w:tc>
        <w:tc>
          <w:tcPr>
            <w:tcW w:w="12547" w:type="dxa"/>
            <w:gridSpan w:val="5"/>
            <w:shd w:val="clear" w:color="auto" w:fill="auto"/>
          </w:tcPr>
          <w:p w14:paraId="01C1FB36" w14:textId="47463999" w:rsidR="00814458" w:rsidRPr="00814458" w:rsidRDefault="00B66BEA" w:rsidP="00497D2D">
            <w:pPr>
              <w:spacing w:after="0" w:line="240" w:lineRule="auto"/>
              <w:ind w:left="720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2018-19</w:t>
            </w:r>
          </w:p>
        </w:tc>
      </w:tr>
      <w:tr w:rsidR="00814458" w14:paraId="60280B59" w14:textId="77777777" w:rsidTr="005F7AE0">
        <w:tc>
          <w:tcPr>
            <w:tcW w:w="15163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37A269C" w14:textId="6615EB6E" w:rsidR="00814458" w:rsidRPr="00765EFB" w:rsidRDefault="00814458" w:rsidP="00947CF2">
            <w:pPr>
              <w:spacing w:after="0" w:line="240" w:lineRule="auto"/>
              <w:ind w:left="142"/>
              <w:rPr>
                <w:rFonts w:cs="Arial"/>
              </w:rPr>
            </w:pPr>
            <w:r w:rsidRPr="00765EFB">
              <w:rPr>
                <w:rFonts w:cs="Arial"/>
              </w:rPr>
              <w:t>The three heading</w:t>
            </w:r>
            <w:r>
              <w:rPr>
                <w:rFonts w:cs="Arial"/>
              </w:rPr>
              <w:t>s</w:t>
            </w:r>
            <w:r w:rsidRPr="00765EFB">
              <w:rPr>
                <w:rFonts w:cs="Arial"/>
              </w:rPr>
              <w:t xml:space="preserve"> below enable schools to demonstrate how they </w:t>
            </w:r>
            <w:r>
              <w:rPr>
                <w:rFonts w:cs="Arial"/>
              </w:rPr>
              <w:t>are using the Pupil Premium to improve classroom pe</w:t>
            </w:r>
            <w:r w:rsidR="00947CF2">
              <w:rPr>
                <w:rFonts w:cs="Arial"/>
              </w:rPr>
              <w:t xml:space="preserve">dagogy, provide </w:t>
            </w:r>
            <w:r>
              <w:rPr>
                <w:rFonts w:cs="Arial"/>
              </w:rPr>
              <w:t>targeted support and support whole school strategies.</w:t>
            </w:r>
          </w:p>
        </w:tc>
      </w:tr>
      <w:tr w:rsidR="00814458" w14:paraId="1CF2C964" w14:textId="77777777" w:rsidTr="005F7AE0">
        <w:tc>
          <w:tcPr>
            <w:tcW w:w="15163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483A55" w14:textId="77777777" w:rsidR="00814458" w:rsidRPr="000B25ED" w:rsidRDefault="00814458" w:rsidP="00497D2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Quality of teaching</w:t>
            </w:r>
            <w:r>
              <w:rPr>
                <w:rFonts w:cs="Arial"/>
                <w:b/>
              </w:rPr>
              <w:t xml:space="preserve"> for all</w:t>
            </w:r>
          </w:p>
        </w:tc>
      </w:tr>
      <w:tr w:rsidR="00E47570" w14:paraId="767F7A22" w14:textId="77777777" w:rsidTr="00374D24">
        <w:trPr>
          <w:trHeight w:val="289"/>
        </w:trPr>
        <w:tc>
          <w:tcPr>
            <w:tcW w:w="3079" w:type="dxa"/>
            <w:gridSpan w:val="2"/>
            <w:tcMar>
              <w:top w:w="57" w:type="dxa"/>
              <w:bottom w:w="57" w:type="dxa"/>
            </w:tcMar>
          </w:tcPr>
          <w:p w14:paraId="2924B435" w14:textId="77777777" w:rsidR="00E47570" w:rsidRPr="000A25FC" w:rsidRDefault="00E47570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3772" w:type="dxa"/>
            <w:tcMar>
              <w:top w:w="57" w:type="dxa"/>
              <w:bottom w:w="57" w:type="dxa"/>
            </w:tcMar>
          </w:tcPr>
          <w:p w14:paraId="0022158C" w14:textId="487CA09D" w:rsidR="00E47570" w:rsidRPr="000A25FC" w:rsidRDefault="00E47570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492" w:type="dxa"/>
            <w:shd w:val="clear" w:color="auto" w:fill="auto"/>
            <w:tcMar>
              <w:top w:w="57" w:type="dxa"/>
              <w:bottom w:w="57" w:type="dxa"/>
            </w:tcMar>
          </w:tcPr>
          <w:p w14:paraId="36A1497E" w14:textId="30F49346" w:rsidR="00E47570" w:rsidRPr="00F93C25" w:rsidRDefault="00E47570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Impact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8D3200" w14:textId="12F6BDB0" w:rsidR="00E47570" w:rsidRPr="00F93C25" w:rsidRDefault="00E47570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Lessons learned</w:t>
            </w:r>
          </w:p>
        </w:tc>
      </w:tr>
      <w:tr w:rsidR="00E47570" w14:paraId="3E22CB34" w14:textId="77777777" w:rsidTr="00374D24">
        <w:trPr>
          <w:trHeight w:hRule="exact" w:val="4035"/>
        </w:trPr>
        <w:tc>
          <w:tcPr>
            <w:tcW w:w="3079" w:type="dxa"/>
            <w:gridSpan w:val="2"/>
            <w:tcMar>
              <w:top w:w="57" w:type="dxa"/>
              <w:bottom w:w="57" w:type="dxa"/>
            </w:tcMar>
          </w:tcPr>
          <w:p w14:paraId="137D53DB" w14:textId="22E28D81" w:rsidR="00E47570" w:rsidRPr="00BA3C3E" w:rsidRDefault="00E47570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t xml:space="preserve">Improved attainment at </w:t>
            </w:r>
            <w:r w:rsidR="006737EE">
              <w:t>Key Stage 2 in Reading</w:t>
            </w:r>
            <w:r w:rsidR="00FD4CAC">
              <w:t xml:space="preserve"> and Maths</w:t>
            </w:r>
            <w:r>
              <w:t xml:space="preserve"> for Pupil Premium so they</w:t>
            </w:r>
            <w:r w:rsidR="00A54296">
              <w:t xml:space="preserve"> are in line with other pupils </w:t>
            </w:r>
            <w:r>
              <w:t>nationally.</w:t>
            </w:r>
          </w:p>
        </w:tc>
        <w:tc>
          <w:tcPr>
            <w:tcW w:w="3772" w:type="dxa"/>
            <w:tcMar>
              <w:top w:w="57" w:type="dxa"/>
              <w:bottom w:w="57" w:type="dxa"/>
            </w:tcMar>
          </w:tcPr>
          <w:p w14:paraId="0FB2FA5E" w14:textId="2D69B028" w:rsidR="00E47570" w:rsidRDefault="00D86276" w:rsidP="0081445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Use of funding to reduce class sizes in </w:t>
            </w:r>
            <w:r w:rsidR="00E47570" w:rsidRPr="005F7AE0">
              <w:rPr>
                <w:rFonts w:cs="Arial"/>
              </w:rPr>
              <w:t>Math</w:t>
            </w:r>
            <w:r w:rsidR="00426B82">
              <w:rPr>
                <w:rFonts w:cs="Arial"/>
              </w:rPr>
              <w:t>s and English lessons for KS2</w:t>
            </w:r>
            <w:r w:rsidR="00E47570" w:rsidRPr="005F7AE0">
              <w:rPr>
                <w:rFonts w:cs="Arial"/>
              </w:rPr>
              <w:t xml:space="preserve"> students. Employment of cur</w:t>
            </w:r>
            <w:r w:rsidR="005F7AE0" w:rsidRPr="005F7AE0">
              <w:rPr>
                <w:rFonts w:cs="Arial"/>
              </w:rPr>
              <w:t xml:space="preserve">riculum area supervisors </w:t>
            </w:r>
            <w:r>
              <w:rPr>
                <w:rFonts w:cs="Arial"/>
              </w:rPr>
              <w:t xml:space="preserve">(CSA) </w:t>
            </w:r>
            <w:r w:rsidR="005F7AE0" w:rsidRPr="005F7AE0">
              <w:rPr>
                <w:rFonts w:cs="Arial"/>
              </w:rPr>
              <w:t>to assist and support in lessons across the year groups.</w:t>
            </w:r>
          </w:p>
          <w:p w14:paraId="2BA62B80" w14:textId="374C427C" w:rsidR="00D86276" w:rsidRDefault="00D86276" w:rsidP="0081445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Use of CSA to facilitate small group interventions with targeted students.</w:t>
            </w:r>
          </w:p>
          <w:p w14:paraId="4A06A271" w14:textId="4BB985E4" w:rsidR="00A54296" w:rsidRPr="005F7AE0" w:rsidRDefault="00A54296" w:rsidP="00D86276">
            <w:pPr>
              <w:spacing w:after="0"/>
              <w:rPr>
                <w:rFonts w:cs="Arial"/>
              </w:rPr>
            </w:pPr>
            <w:r>
              <w:t xml:space="preserve">Our ‘Super Tutor’ groups </w:t>
            </w:r>
            <w:r w:rsidR="00D86276">
              <w:t>were</w:t>
            </w:r>
            <w:r>
              <w:t xml:space="preserve"> set up for targeted Yr6 students to receive additional interventions during pastoral time.</w:t>
            </w:r>
          </w:p>
        </w:tc>
        <w:tc>
          <w:tcPr>
            <w:tcW w:w="3492" w:type="dxa"/>
            <w:tcMar>
              <w:top w:w="57" w:type="dxa"/>
              <w:bottom w:w="57" w:type="dxa"/>
            </w:tcMar>
          </w:tcPr>
          <w:p w14:paraId="08F61312" w14:textId="624F452E" w:rsidR="00E47570" w:rsidRDefault="00D86276" w:rsidP="00D86276">
            <w:pPr>
              <w:spacing w:after="0"/>
            </w:pPr>
            <w:r>
              <w:t>PP students mad</w:t>
            </w:r>
            <w:r w:rsidR="00A54296">
              <w:t>e rapid progress</w:t>
            </w:r>
            <w:r w:rsidR="00574724">
              <w:t>.</w:t>
            </w:r>
            <w:r>
              <w:t xml:space="preserve">  In maths PP students had an average scaled score of 106.3 against non-PP students of 106. </w:t>
            </w:r>
            <w:r w:rsidRPr="00D86276">
              <w:t xml:space="preserve">Continuous data analysis of the impact of interventions showed that super tutors </w:t>
            </w:r>
            <w:r>
              <w:t xml:space="preserve">and in-school interventions </w:t>
            </w:r>
            <w:r w:rsidRPr="00D86276">
              <w:t>have a consistently high effect.</w:t>
            </w:r>
          </w:p>
          <w:p w14:paraId="7B92B77E" w14:textId="0FAD5DD9" w:rsidR="00D86276" w:rsidRPr="00BA3C3E" w:rsidRDefault="00D86276" w:rsidP="00D8627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FBF64C" w14:textId="77777777" w:rsidR="00E47570" w:rsidRDefault="00C36D4E" w:rsidP="00D86276">
            <w:pPr>
              <w:spacing w:after="0"/>
            </w:pPr>
            <w:r>
              <w:t>Investigate alternative ways of using teaching support so that their impact is as great as possible.</w:t>
            </w:r>
            <w:r w:rsidR="00FD4CAC">
              <w:t xml:space="preserve"> </w:t>
            </w:r>
          </w:p>
          <w:p w14:paraId="4806FB46" w14:textId="7D906FAF" w:rsidR="00D86276" w:rsidRDefault="00D86276" w:rsidP="00D86276">
            <w:pPr>
              <w:spacing w:after="0"/>
            </w:pPr>
            <w:r>
              <w:t>Investigate strategies with proven impact in maths and their possible application for reading.</w:t>
            </w:r>
          </w:p>
          <w:p w14:paraId="291985E3" w14:textId="44470474" w:rsidR="00D86276" w:rsidRDefault="00D86276" w:rsidP="00D86276">
            <w:pPr>
              <w:spacing w:after="0"/>
            </w:pPr>
            <w:r>
              <w:t>A higher staff to pupil ratio allows for more effective in class support.</w:t>
            </w:r>
          </w:p>
          <w:p w14:paraId="7382BE96" w14:textId="7FD98D66" w:rsidR="00807C86" w:rsidRDefault="00807C86" w:rsidP="00D86276">
            <w:pPr>
              <w:spacing w:after="0"/>
            </w:pPr>
            <w:r>
              <w:t xml:space="preserve">Correct group dynamics should be considered when planning interventions. </w:t>
            </w:r>
          </w:p>
          <w:p w14:paraId="469652EF" w14:textId="41933938" w:rsidR="00D86276" w:rsidRPr="00BA3C3E" w:rsidRDefault="00D86276" w:rsidP="00D8627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14458" w14:paraId="675AE532" w14:textId="77777777" w:rsidTr="002915C0">
        <w:trPr>
          <w:trHeight w:hRule="exact" w:val="387"/>
        </w:trPr>
        <w:tc>
          <w:tcPr>
            <w:tcW w:w="12151" w:type="dxa"/>
            <w:gridSpan w:val="5"/>
            <w:tcMar>
              <w:top w:w="57" w:type="dxa"/>
              <w:bottom w:w="57" w:type="dxa"/>
            </w:tcMar>
          </w:tcPr>
          <w:p w14:paraId="435A79FA" w14:textId="77777777" w:rsidR="00814458" w:rsidRPr="000B25ED" w:rsidRDefault="00814458" w:rsidP="00814458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3012" w:type="dxa"/>
            <w:shd w:val="clear" w:color="auto" w:fill="auto"/>
          </w:tcPr>
          <w:p w14:paraId="01063CE6" w14:textId="58AF6956" w:rsidR="00814458" w:rsidRDefault="002915C0" w:rsidP="00814458">
            <w:pPr>
              <w:spacing w:after="0"/>
              <w:rPr>
                <w:rFonts w:cs="Arial"/>
              </w:rPr>
            </w:pPr>
            <w:r w:rsidRPr="002915C0">
              <w:rPr>
                <w:rFonts w:cs="Arial"/>
              </w:rPr>
              <w:t>£50</w:t>
            </w:r>
            <w:r w:rsidR="00DE25FC">
              <w:rPr>
                <w:rFonts w:cs="Arial"/>
              </w:rPr>
              <w:t>,</w:t>
            </w:r>
            <w:r w:rsidRPr="002915C0">
              <w:rPr>
                <w:rFonts w:cs="Arial"/>
              </w:rPr>
              <w:t>693</w:t>
            </w:r>
          </w:p>
        </w:tc>
      </w:tr>
    </w:tbl>
    <w:p w14:paraId="2D27088C" w14:textId="7EE4499A" w:rsidR="00DE25FC" w:rsidRDefault="00DE25FC"/>
    <w:p w14:paraId="16E890AF" w14:textId="77777777" w:rsidR="00DE25FC" w:rsidRDefault="00DE25FC">
      <w:pPr>
        <w:spacing w:after="0" w:line="240" w:lineRule="auto"/>
      </w:pPr>
      <w:r>
        <w:br w:type="page"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079"/>
        <w:gridCol w:w="3772"/>
        <w:gridCol w:w="3492"/>
        <w:gridCol w:w="1808"/>
        <w:gridCol w:w="3012"/>
      </w:tblGrid>
      <w:tr w:rsidR="00814458" w14:paraId="162303A5" w14:textId="77777777" w:rsidTr="005F7AE0">
        <w:trPr>
          <w:trHeight w:hRule="exact" w:val="480"/>
        </w:trPr>
        <w:tc>
          <w:tcPr>
            <w:tcW w:w="15163" w:type="dxa"/>
            <w:gridSpan w:val="5"/>
            <w:tcMar>
              <w:top w:w="57" w:type="dxa"/>
              <w:bottom w:w="57" w:type="dxa"/>
            </w:tcMar>
            <w:vAlign w:val="center"/>
          </w:tcPr>
          <w:p w14:paraId="25179E5C" w14:textId="7EFAF334" w:rsidR="00814458" w:rsidRPr="000B25ED" w:rsidRDefault="00814458" w:rsidP="00947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lastRenderedPageBreak/>
              <w:t>Targeted support</w:t>
            </w:r>
          </w:p>
        </w:tc>
      </w:tr>
      <w:tr w:rsidR="005F7AE0" w:rsidRPr="006D447D" w14:paraId="4B298DA2" w14:textId="77777777" w:rsidTr="00374D24">
        <w:tc>
          <w:tcPr>
            <w:tcW w:w="3079" w:type="dxa"/>
            <w:tcMar>
              <w:top w:w="57" w:type="dxa"/>
              <w:bottom w:w="57" w:type="dxa"/>
            </w:tcMar>
          </w:tcPr>
          <w:p w14:paraId="584F8AB6" w14:textId="77777777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3772" w:type="dxa"/>
            <w:tcMar>
              <w:top w:w="57" w:type="dxa"/>
              <w:bottom w:w="57" w:type="dxa"/>
            </w:tcMar>
          </w:tcPr>
          <w:p w14:paraId="7E8943AD" w14:textId="05586F09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492" w:type="dxa"/>
            <w:tcMar>
              <w:top w:w="57" w:type="dxa"/>
              <w:bottom w:w="57" w:type="dxa"/>
            </w:tcMar>
          </w:tcPr>
          <w:p w14:paraId="72F642B3" w14:textId="6646AA2B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Impact</w:t>
            </w: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6C69BACB" w14:textId="22817D04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Lessons learned</w:t>
            </w:r>
          </w:p>
        </w:tc>
      </w:tr>
      <w:tr w:rsidR="005F7AE0" w14:paraId="5AC0A3CC" w14:textId="77777777" w:rsidTr="00374D24">
        <w:trPr>
          <w:trHeight w:hRule="exact" w:val="4432"/>
        </w:trPr>
        <w:tc>
          <w:tcPr>
            <w:tcW w:w="3079" w:type="dxa"/>
            <w:tcMar>
              <w:top w:w="57" w:type="dxa"/>
              <w:bottom w:w="57" w:type="dxa"/>
            </w:tcMar>
          </w:tcPr>
          <w:p w14:paraId="142B5E30" w14:textId="23848764" w:rsidR="005F7AE0" w:rsidRPr="000A25FC" w:rsidRDefault="00103DB1" w:rsidP="00103DB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Increased up-take of e</w:t>
            </w:r>
            <w:r w:rsidR="00574724">
              <w:rPr>
                <w:rFonts w:cs="Arial"/>
              </w:rPr>
              <w:t>xtra-</w:t>
            </w:r>
            <w:r w:rsidR="00B91516">
              <w:rPr>
                <w:rFonts w:cs="Arial"/>
              </w:rPr>
              <w:t xml:space="preserve">curricular activities and trips </w:t>
            </w:r>
            <w:r>
              <w:rPr>
                <w:rFonts w:cs="Arial"/>
              </w:rPr>
              <w:t>by</w:t>
            </w:r>
            <w:r w:rsidR="00B91516">
              <w:rPr>
                <w:rFonts w:cs="Arial"/>
              </w:rPr>
              <w:t xml:space="preserve"> Pupil Premium students</w:t>
            </w:r>
          </w:p>
        </w:tc>
        <w:tc>
          <w:tcPr>
            <w:tcW w:w="3772" w:type="dxa"/>
            <w:tcMar>
              <w:top w:w="57" w:type="dxa"/>
              <w:bottom w:w="57" w:type="dxa"/>
            </w:tcMar>
          </w:tcPr>
          <w:p w14:paraId="6BB95853" w14:textId="14852815" w:rsidR="005F7AE0" w:rsidRDefault="00426B82" w:rsidP="00374D24">
            <w:pPr>
              <w:spacing w:after="0"/>
            </w:pPr>
            <w:r>
              <w:t>Educational visits and residential trips</w:t>
            </w:r>
            <w:r w:rsidR="00374D24">
              <w:t xml:space="preserve"> </w:t>
            </w:r>
            <w:r w:rsidR="00567274">
              <w:t>we</w:t>
            </w:r>
            <w:r w:rsidR="00103DB1">
              <w:t xml:space="preserve">re </w:t>
            </w:r>
            <w:r>
              <w:t xml:space="preserve">tailored to the needs of the pupils </w:t>
            </w:r>
            <w:r w:rsidR="00374D24">
              <w:t>with</w:t>
            </w:r>
            <w:r>
              <w:t xml:space="preserve"> some trips </w:t>
            </w:r>
            <w:r w:rsidR="00374D24">
              <w:t xml:space="preserve">being partially </w:t>
            </w:r>
            <w:r>
              <w:t xml:space="preserve">funded </w:t>
            </w:r>
            <w:r w:rsidR="00374D24">
              <w:t>from</w:t>
            </w:r>
            <w:r>
              <w:t xml:space="preserve"> </w:t>
            </w:r>
            <w:r w:rsidR="00103DB1">
              <w:t xml:space="preserve">the </w:t>
            </w:r>
            <w:r>
              <w:t xml:space="preserve">PP </w:t>
            </w:r>
            <w:r w:rsidR="00103DB1">
              <w:t>budget</w:t>
            </w:r>
            <w:r>
              <w:t>.</w:t>
            </w:r>
          </w:p>
          <w:p w14:paraId="5EC92536" w14:textId="13981966" w:rsidR="00374D24" w:rsidRPr="00E20F63" w:rsidRDefault="00374D24" w:rsidP="00374D24">
            <w:pPr>
              <w:spacing w:after="0"/>
              <w:rPr>
                <w:rFonts w:cs="Arial"/>
                <w:sz w:val="18"/>
                <w:szCs w:val="18"/>
              </w:rPr>
            </w:pPr>
            <w:r>
              <w:t>All extra-curricular activities</w:t>
            </w:r>
            <w:r w:rsidR="00567274">
              <w:t xml:space="preserve"> were</w:t>
            </w:r>
            <w:r>
              <w:t xml:space="preserve"> promoted to all students, with PP students receiving personalised advice from form tutors as part of their passport activities.</w:t>
            </w:r>
          </w:p>
        </w:tc>
        <w:tc>
          <w:tcPr>
            <w:tcW w:w="3492" w:type="dxa"/>
            <w:tcMar>
              <w:top w:w="57" w:type="dxa"/>
              <w:bottom w:w="57" w:type="dxa"/>
            </w:tcMar>
          </w:tcPr>
          <w:p w14:paraId="6D6384DB" w14:textId="4D90F6DA" w:rsidR="005F7AE0" w:rsidRDefault="00374D24" w:rsidP="00374D24">
            <w:pPr>
              <w:spacing w:after="0"/>
            </w:pPr>
            <w:r>
              <w:t xml:space="preserve">PASS scores and pupil voices have demonstrated a positive impact for pupils, </w:t>
            </w:r>
            <w:r w:rsidR="00426B82">
              <w:t>enhancing their life skills and experiences and helping them to gain confidence.</w:t>
            </w:r>
            <w:r w:rsidR="00103DB1">
              <w:t xml:space="preserve">  Increased cultural capital for </w:t>
            </w:r>
            <w:r>
              <w:t>PP</w:t>
            </w:r>
            <w:r w:rsidR="00103DB1">
              <w:t xml:space="preserve"> students in order for them to appreciate the context of the curriculum.</w:t>
            </w:r>
          </w:p>
          <w:p w14:paraId="1F01BE52" w14:textId="56DC5F26" w:rsidR="00374D24" w:rsidRDefault="00374D24" w:rsidP="00374D24">
            <w:pPr>
              <w:spacing w:after="0"/>
            </w:pPr>
            <w:r>
              <w:t>Analysis of extra-curricular registers prove</w:t>
            </w:r>
            <w:r w:rsidR="00567274">
              <w:t>d</w:t>
            </w:r>
            <w:r>
              <w:t xml:space="preserve"> that PP attendance is consistently high.</w:t>
            </w:r>
          </w:p>
          <w:p w14:paraId="65A57749" w14:textId="127B908A" w:rsidR="00374D24" w:rsidRPr="000A25FC" w:rsidRDefault="00374D24" w:rsidP="00374D24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17DE103A" w14:textId="1CA50001" w:rsidR="00374D24" w:rsidRPr="00374D24" w:rsidRDefault="00426B82" w:rsidP="00814458">
            <w:pPr>
              <w:spacing w:after="0"/>
            </w:pPr>
            <w:r>
              <w:t>We will continue with this approach and look to enhance the range of provision to include other opportunities.</w:t>
            </w:r>
          </w:p>
        </w:tc>
      </w:tr>
      <w:tr w:rsidR="00814458" w14:paraId="6781F7C5" w14:textId="77777777" w:rsidTr="002915C0">
        <w:trPr>
          <w:trHeight w:hRule="exact" w:val="458"/>
        </w:trPr>
        <w:tc>
          <w:tcPr>
            <w:tcW w:w="12151" w:type="dxa"/>
            <w:gridSpan w:val="4"/>
            <w:tcMar>
              <w:top w:w="57" w:type="dxa"/>
              <w:bottom w:w="57" w:type="dxa"/>
            </w:tcMar>
          </w:tcPr>
          <w:p w14:paraId="0818FCA8" w14:textId="77777777" w:rsidR="00814458" w:rsidRPr="000A25FC" w:rsidRDefault="00814458" w:rsidP="00814458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3012" w:type="dxa"/>
            <w:shd w:val="clear" w:color="auto" w:fill="auto"/>
          </w:tcPr>
          <w:p w14:paraId="41A163E4" w14:textId="3FF82A92" w:rsidR="00814458" w:rsidRPr="000A25FC" w:rsidRDefault="002915C0" w:rsidP="00814458">
            <w:pPr>
              <w:spacing w:after="0"/>
              <w:rPr>
                <w:rFonts w:cs="Arial"/>
              </w:rPr>
            </w:pPr>
            <w:r w:rsidRPr="002915C0">
              <w:rPr>
                <w:rFonts w:cs="Arial"/>
              </w:rPr>
              <w:t>£6</w:t>
            </w:r>
            <w:r w:rsidR="00DE25FC">
              <w:rPr>
                <w:rFonts w:cs="Arial"/>
              </w:rPr>
              <w:t>,</w:t>
            </w:r>
            <w:r w:rsidRPr="002915C0">
              <w:rPr>
                <w:rFonts w:cs="Arial"/>
              </w:rPr>
              <w:t>000</w:t>
            </w:r>
          </w:p>
        </w:tc>
      </w:tr>
      <w:tr w:rsidR="00814458" w14:paraId="46F7E2D2" w14:textId="77777777" w:rsidTr="005F7AE0">
        <w:trPr>
          <w:trHeight w:hRule="exact" w:val="355"/>
        </w:trPr>
        <w:tc>
          <w:tcPr>
            <w:tcW w:w="15163" w:type="dxa"/>
            <w:gridSpan w:val="5"/>
            <w:tcMar>
              <w:top w:w="57" w:type="dxa"/>
              <w:bottom w:w="57" w:type="dxa"/>
            </w:tcMar>
            <w:vAlign w:val="center"/>
          </w:tcPr>
          <w:p w14:paraId="000B2786" w14:textId="77777777" w:rsidR="00814458" w:rsidRPr="000B25ED" w:rsidRDefault="00814458" w:rsidP="00947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5F7AE0" w:rsidRPr="006D447D" w14:paraId="27F13151" w14:textId="77777777" w:rsidTr="00374D24">
        <w:tc>
          <w:tcPr>
            <w:tcW w:w="3079" w:type="dxa"/>
            <w:tcMar>
              <w:top w:w="57" w:type="dxa"/>
              <w:bottom w:w="57" w:type="dxa"/>
            </w:tcMar>
          </w:tcPr>
          <w:p w14:paraId="2EC57366" w14:textId="77777777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3772" w:type="dxa"/>
            <w:tcMar>
              <w:top w:w="57" w:type="dxa"/>
              <w:bottom w:w="57" w:type="dxa"/>
            </w:tcMar>
          </w:tcPr>
          <w:p w14:paraId="67E8E0C0" w14:textId="5E2B2160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 xml:space="preserve">action /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492" w:type="dxa"/>
            <w:tcMar>
              <w:top w:w="57" w:type="dxa"/>
              <w:bottom w:w="57" w:type="dxa"/>
            </w:tcMar>
          </w:tcPr>
          <w:p w14:paraId="6C0317A3" w14:textId="3E7EAD7F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Impact</w:t>
            </w: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4DAECC03" w14:textId="5AA9A282" w:rsidR="005F7AE0" w:rsidRPr="000A25FC" w:rsidRDefault="005F7AE0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Lessons learned</w:t>
            </w:r>
          </w:p>
        </w:tc>
      </w:tr>
      <w:tr w:rsidR="005F7AE0" w:rsidRPr="006D447D" w14:paraId="223663DD" w14:textId="77777777" w:rsidTr="00374D24">
        <w:trPr>
          <w:trHeight w:val="497"/>
        </w:trPr>
        <w:tc>
          <w:tcPr>
            <w:tcW w:w="3079" w:type="dxa"/>
            <w:tcMar>
              <w:top w:w="57" w:type="dxa"/>
              <w:bottom w:w="57" w:type="dxa"/>
            </w:tcMar>
          </w:tcPr>
          <w:p w14:paraId="6AFDACF7" w14:textId="4A295D49" w:rsidR="005F7AE0" w:rsidRPr="00E20F63" w:rsidRDefault="00B91516" w:rsidP="008144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Improved social and emotional health for some Pupil Premium students.</w:t>
            </w:r>
          </w:p>
        </w:tc>
        <w:tc>
          <w:tcPr>
            <w:tcW w:w="3772" w:type="dxa"/>
            <w:tcMar>
              <w:top w:w="57" w:type="dxa"/>
              <w:bottom w:w="57" w:type="dxa"/>
            </w:tcMar>
          </w:tcPr>
          <w:p w14:paraId="20E176F2" w14:textId="7035E960" w:rsidR="00925FAF" w:rsidRPr="00925FAF" w:rsidRDefault="00426B82" w:rsidP="00EE258B">
            <w:pPr>
              <w:spacing w:after="0"/>
            </w:pPr>
            <w:r w:rsidRPr="00187B40">
              <w:t xml:space="preserve">Employ the services of a </w:t>
            </w:r>
            <w:r w:rsidR="00EE258B" w:rsidRPr="00187B40">
              <w:t>Student Success Manager</w:t>
            </w:r>
            <w:r w:rsidR="00FD4CAC" w:rsidRPr="00187B40">
              <w:t xml:space="preserve"> and attendance officer</w:t>
            </w:r>
            <w:r w:rsidR="00EE258B" w:rsidRPr="00187B40">
              <w:t xml:space="preserve"> </w:t>
            </w:r>
            <w:r w:rsidRPr="00187B40">
              <w:t>when they require additional help.</w:t>
            </w:r>
          </w:p>
        </w:tc>
        <w:tc>
          <w:tcPr>
            <w:tcW w:w="3492" w:type="dxa"/>
            <w:tcMar>
              <w:top w:w="57" w:type="dxa"/>
              <w:bottom w:w="57" w:type="dxa"/>
            </w:tcMar>
          </w:tcPr>
          <w:p w14:paraId="396E79D1" w14:textId="54D99A9C" w:rsidR="00925FAF" w:rsidRDefault="00925FAF" w:rsidP="00925FAF">
            <w:pPr>
              <w:spacing w:after="0"/>
            </w:pPr>
            <w:r>
              <w:t>GL PASS testing factors, such as feelings towards school, sense of wellbeing and attitudes to learning, demonstrate</w:t>
            </w:r>
            <w:r w:rsidR="00567274">
              <w:t>d</w:t>
            </w:r>
            <w:r>
              <w:t xml:space="preserve"> an improvement among PP students.  This has </w:t>
            </w:r>
            <w:r w:rsidR="00567274">
              <w:lastRenderedPageBreak/>
              <w:t xml:space="preserve">had </w:t>
            </w:r>
            <w:r>
              <w:t>a positive impact upon their learning experiences and successes in school.</w:t>
            </w:r>
          </w:p>
          <w:p w14:paraId="049CD518" w14:textId="193AFA6E" w:rsidR="00925FAF" w:rsidRPr="00925FAF" w:rsidRDefault="00925FAF" w:rsidP="00925FAF">
            <w:pPr>
              <w:spacing w:after="0"/>
            </w:pPr>
            <w:r>
              <w:t>Through attendance at Welfare Clinics and home visit</w:t>
            </w:r>
            <w:r w:rsidR="00567274">
              <w:t>s with the EWW, PP students felt</w:t>
            </w:r>
            <w:r>
              <w:t xml:space="preserve"> supported a</w:t>
            </w:r>
            <w:r w:rsidR="00567274">
              <w:t>nd had</w:t>
            </w:r>
            <w:r>
              <w:t xml:space="preserve"> strategies to </w:t>
            </w:r>
            <w:r w:rsidR="00567274">
              <w:t xml:space="preserve">help them </w:t>
            </w:r>
            <w:r>
              <w:t xml:space="preserve">attend school </w:t>
            </w:r>
            <w:r w:rsidR="00567274">
              <w:t xml:space="preserve">more </w:t>
            </w:r>
            <w:r>
              <w:t>regularly.</w:t>
            </w: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14:paraId="0FA7AF85" w14:textId="6EC424CB" w:rsidR="005F7AE0" w:rsidRPr="00925FAF" w:rsidRDefault="00426B82" w:rsidP="00247801">
            <w:pPr>
              <w:spacing w:after="0"/>
            </w:pPr>
            <w:r>
              <w:lastRenderedPageBreak/>
              <w:t xml:space="preserve">Support to continue </w:t>
            </w:r>
            <w:r w:rsidR="00925FAF">
              <w:t xml:space="preserve">and </w:t>
            </w:r>
            <w:r>
              <w:t>ongoing impa</w:t>
            </w:r>
            <w:r w:rsidR="00247801">
              <w:t>ct to be monitored.  C</w:t>
            </w:r>
            <w:r w:rsidR="00925FAF">
              <w:t xml:space="preserve">ase studies </w:t>
            </w:r>
            <w:r w:rsidR="00247801">
              <w:t xml:space="preserve">are explained </w:t>
            </w:r>
            <w:r w:rsidR="00925FAF">
              <w:t>t</w:t>
            </w:r>
            <w:r w:rsidR="007271B4">
              <w:t xml:space="preserve">o make sure </w:t>
            </w:r>
            <w:r w:rsidR="00247801">
              <w:t>th</w:t>
            </w:r>
            <w:r>
              <w:t>at input is at the right time for the pupils.</w:t>
            </w:r>
          </w:p>
        </w:tc>
      </w:tr>
      <w:tr w:rsidR="00814458" w:rsidRPr="006D447D" w14:paraId="5E173DD8" w14:textId="77777777" w:rsidTr="005F7AE0">
        <w:tc>
          <w:tcPr>
            <w:tcW w:w="12151" w:type="dxa"/>
            <w:gridSpan w:val="4"/>
            <w:tcMar>
              <w:top w:w="57" w:type="dxa"/>
              <w:bottom w:w="57" w:type="dxa"/>
            </w:tcMar>
          </w:tcPr>
          <w:p w14:paraId="1C66B76A" w14:textId="0AA744C9" w:rsidR="00814458" w:rsidRPr="000A25FC" w:rsidRDefault="00814458" w:rsidP="00814458">
            <w:pPr>
              <w:spacing w:after="0"/>
              <w:jc w:val="right"/>
              <w:rPr>
                <w:rFonts w:cs="Arial"/>
                <w:b/>
              </w:rPr>
            </w:pPr>
            <w:r w:rsidRPr="00636313">
              <w:rPr>
                <w:rFonts w:cs="Arial"/>
                <w:b/>
              </w:rPr>
              <w:lastRenderedPageBreak/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3012" w:type="dxa"/>
          </w:tcPr>
          <w:p w14:paraId="2B971542" w14:textId="79EF5E69" w:rsidR="00814458" w:rsidRPr="00B86EAF" w:rsidRDefault="002915C0" w:rsidP="00814458">
            <w:pPr>
              <w:spacing w:after="0"/>
              <w:rPr>
                <w:rFonts w:cs="Arial"/>
              </w:rPr>
            </w:pPr>
            <w:r w:rsidRPr="00B86EAF">
              <w:rPr>
                <w:rFonts w:cs="Arial"/>
              </w:rPr>
              <w:t>£2</w:t>
            </w:r>
            <w:r w:rsidR="00DE25FC">
              <w:rPr>
                <w:rFonts w:cs="Arial"/>
              </w:rPr>
              <w:t>,</w:t>
            </w:r>
            <w:bookmarkStart w:id="2" w:name="_GoBack"/>
            <w:bookmarkEnd w:id="2"/>
            <w:r w:rsidRPr="00B86EAF">
              <w:rPr>
                <w:rFonts w:cs="Arial"/>
              </w:rPr>
              <w:t>500</w:t>
            </w:r>
          </w:p>
        </w:tc>
      </w:tr>
    </w:tbl>
    <w:p w14:paraId="3CAC8280" w14:textId="39B2648A" w:rsidR="00814458" w:rsidRDefault="00814458" w:rsidP="00814458">
      <w:pPr>
        <w:spacing w:after="0"/>
        <w:rPr>
          <w:rFonts w:cs="Arial"/>
        </w:rPr>
      </w:pPr>
    </w:p>
    <w:bookmarkEnd w:id="1"/>
    <w:p w14:paraId="48622C4C" w14:textId="795609BE" w:rsidR="009F41B6" w:rsidRPr="00567274" w:rsidRDefault="009F41B6" w:rsidP="00567274">
      <w:pPr>
        <w:tabs>
          <w:tab w:val="left" w:pos="2780"/>
        </w:tabs>
      </w:pPr>
    </w:p>
    <w:sectPr w:rsidR="009F41B6" w:rsidRPr="00567274" w:rsidSect="00BD4A45">
      <w:headerReference w:type="even" r:id="rId14"/>
      <w:headerReference w:type="default" r:id="rId15"/>
      <w:footerReference w:type="default" r:id="rId16"/>
      <w:headerReference w:type="first" r:id="rId17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F177" w14:textId="77777777" w:rsidR="00567274" w:rsidRDefault="00567274" w:rsidP="009F41B6">
      <w:r>
        <w:separator/>
      </w:r>
    </w:p>
    <w:p w14:paraId="2A943028" w14:textId="77777777" w:rsidR="00567274" w:rsidRDefault="00567274" w:rsidP="009F41B6"/>
  </w:endnote>
  <w:endnote w:type="continuationSeparator" w:id="0">
    <w:p w14:paraId="62433C64" w14:textId="77777777" w:rsidR="00567274" w:rsidRDefault="00567274" w:rsidP="009F41B6">
      <w:r>
        <w:continuationSeparator/>
      </w:r>
    </w:p>
    <w:p w14:paraId="4870A7B6" w14:textId="77777777" w:rsidR="00567274" w:rsidRDefault="00567274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0D0CC52E" w:rsidR="00567274" w:rsidRDefault="00567274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4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0238" w14:textId="77777777" w:rsidR="00567274" w:rsidRDefault="00567274" w:rsidP="009F41B6">
      <w:r>
        <w:separator/>
      </w:r>
    </w:p>
    <w:p w14:paraId="595EF0D7" w14:textId="77777777" w:rsidR="00567274" w:rsidRDefault="00567274" w:rsidP="009F41B6"/>
  </w:footnote>
  <w:footnote w:type="continuationSeparator" w:id="0">
    <w:p w14:paraId="012F0BCB" w14:textId="77777777" w:rsidR="00567274" w:rsidRDefault="00567274" w:rsidP="009F41B6">
      <w:r>
        <w:continuationSeparator/>
      </w:r>
    </w:p>
    <w:p w14:paraId="04E41516" w14:textId="77777777" w:rsidR="00567274" w:rsidRDefault="00567274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77D9" w14:textId="52FCB09C" w:rsidR="00567274" w:rsidRDefault="00567274">
    <w:pPr>
      <w:pStyle w:val="Header"/>
    </w:pPr>
  </w:p>
  <w:p w14:paraId="2B8C5917" w14:textId="77777777" w:rsidR="00567274" w:rsidRDefault="0056727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9D89" w14:textId="04EAD5FA" w:rsidR="00567274" w:rsidRPr="003F351B" w:rsidRDefault="00567274" w:rsidP="003F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41D4" w14:textId="5131DDF1" w:rsidR="00567274" w:rsidRPr="003F351B" w:rsidRDefault="00567274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5F465D4"/>
    <w:multiLevelType w:val="hybridMultilevel"/>
    <w:tmpl w:val="9976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2"/>
  </w:num>
  <w:num w:numId="10">
    <w:abstractNumId w:val="8"/>
  </w:num>
  <w:num w:numId="11">
    <w:abstractNumId w:val="29"/>
  </w:num>
  <w:num w:numId="12">
    <w:abstractNumId w:val="26"/>
  </w:num>
  <w:num w:numId="13">
    <w:abstractNumId w:val="3"/>
  </w:num>
  <w:num w:numId="14">
    <w:abstractNumId w:val="4"/>
  </w:num>
  <w:num w:numId="15">
    <w:abstractNumId w:val="25"/>
  </w:num>
  <w:num w:numId="16">
    <w:abstractNumId w:val="9"/>
  </w:num>
  <w:num w:numId="17">
    <w:abstractNumId w:val="33"/>
  </w:num>
  <w:num w:numId="18">
    <w:abstractNumId w:val="18"/>
  </w:num>
  <w:num w:numId="19">
    <w:abstractNumId w:val="23"/>
  </w:num>
  <w:num w:numId="20">
    <w:abstractNumId w:val="16"/>
  </w:num>
  <w:num w:numId="21">
    <w:abstractNumId w:val="35"/>
  </w:num>
  <w:num w:numId="22">
    <w:abstractNumId w:val="14"/>
  </w:num>
  <w:num w:numId="23">
    <w:abstractNumId w:val="11"/>
  </w:num>
  <w:num w:numId="24">
    <w:abstractNumId w:val="20"/>
  </w:num>
  <w:num w:numId="25">
    <w:abstractNumId w:val="28"/>
  </w:num>
  <w:num w:numId="26">
    <w:abstractNumId w:val="7"/>
  </w:num>
  <w:num w:numId="27">
    <w:abstractNumId w:val="36"/>
  </w:num>
  <w:num w:numId="28">
    <w:abstractNumId w:val="19"/>
  </w:num>
  <w:num w:numId="29">
    <w:abstractNumId w:val="31"/>
  </w:num>
  <w:num w:numId="30">
    <w:abstractNumId w:val="27"/>
  </w:num>
  <w:num w:numId="31">
    <w:abstractNumId w:val="24"/>
  </w:num>
  <w:num w:numId="32">
    <w:abstractNumId w:val="12"/>
  </w:num>
  <w:num w:numId="33">
    <w:abstractNumId w:val="34"/>
  </w:num>
  <w:num w:numId="34">
    <w:abstractNumId w:val="32"/>
  </w:num>
  <w:num w:numId="35">
    <w:abstractNumId w:val="13"/>
  </w:num>
  <w:num w:numId="36">
    <w:abstractNumId w:val="15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3276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15AEB"/>
    <w:rsid w:val="000162C6"/>
    <w:rsid w:val="0002203B"/>
    <w:rsid w:val="00023913"/>
    <w:rsid w:val="000240E2"/>
    <w:rsid w:val="00024EA2"/>
    <w:rsid w:val="00030ABD"/>
    <w:rsid w:val="00031F36"/>
    <w:rsid w:val="0003414B"/>
    <w:rsid w:val="00036EE2"/>
    <w:rsid w:val="000442BD"/>
    <w:rsid w:val="00051E2E"/>
    <w:rsid w:val="00053503"/>
    <w:rsid w:val="00057100"/>
    <w:rsid w:val="00060EBF"/>
    <w:rsid w:val="000666F9"/>
    <w:rsid w:val="00066B1C"/>
    <w:rsid w:val="0007258F"/>
    <w:rsid w:val="00074179"/>
    <w:rsid w:val="00074641"/>
    <w:rsid w:val="00081EE7"/>
    <w:rsid w:val="00083A73"/>
    <w:rsid w:val="00086722"/>
    <w:rsid w:val="00090563"/>
    <w:rsid w:val="00095901"/>
    <w:rsid w:val="000A10F4"/>
    <w:rsid w:val="000A2D6A"/>
    <w:rsid w:val="000A4B41"/>
    <w:rsid w:val="000B3DE0"/>
    <w:rsid w:val="000B4A3E"/>
    <w:rsid w:val="000C2FFE"/>
    <w:rsid w:val="000C503E"/>
    <w:rsid w:val="000C6B02"/>
    <w:rsid w:val="000C7733"/>
    <w:rsid w:val="000D1BE7"/>
    <w:rsid w:val="000D1D30"/>
    <w:rsid w:val="000D4433"/>
    <w:rsid w:val="000D5697"/>
    <w:rsid w:val="000E3350"/>
    <w:rsid w:val="000E46AE"/>
    <w:rsid w:val="000F1A98"/>
    <w:rsid w:val="000F22D0"/>
    <w:rsid w:val="000F73F3"/>
    <w:rsid w:val="00103DB1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4F59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2C2"/>
    <w:rsid w:val="001747E2"/>
    <w:rsid w:val="00176EB9"/>
    <w:rsid w:val="00180AAE"/>
    <w:rsid w:val="00180AD5"/>
    <w:rsid w:val="001811F8"/>
    <w:rsid w:val="001829A5"/>
    <w:rsid w:val="00183D0C"/>
    <w:rsid w:val="00187B40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1BEA"/>
    <w:rsid w:val="00203ACA"/>
    <w:rsid w:val="00203EC9"/>
    <w:rsid w:val="002042CF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47801"/>
    <w:rsid w:val="00250F87"/>
    <w:rsid w:val="002575C5"/>
    <w:rsid w:val="002624F5"/>
    <w:rsid w:val="002634E2"/>
    <w:rsid w:val="00263C85"/>
    <w:rsid w:val="002708E4"/>
    <w:rsid w:val="0027230F"/>
    <w:rsid w:val="0027252F"/>
    <w:rsid w:val="00273718"/>
    <w:rsid w:val="00282321"/>
    <w:rsid w:val="002839B5"/>
    <w:rsid w:val="00283D8B"/>
    <w:rsid w:val="00287788"/>
    <w:rsid w:val="002915C0"/>
    <w:rsid w:val="00291E8A"/>
    <w:rsid w:val="00292DED"/>
    <w:rsid w:val="002A1D3B"/>
    <w:rsid w:val="002A28F7"/>
    <w:rsid w:val="002A3153"/>
    <w:rsid w:val="002B0709"/>
    <w:rsid w:val="002B2775"/>
    <w:rsid w:val="002B37EB"/>
    <w:rsid w:val="002B550C"/>
    <w:rsid w:val="002C3AA4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3FC3"/>
    <w:rsid w:val="00324A45"/>
    <w:rsid w:val="00325D84"/>
    <w:rsid w:val="00326C32"/>
    <w:rsid w:val="00333B04"/>
    <w:rsid w:val="003370A4"/>
    <w:rsid w:val="003409F2"/>
    <w:rsid w:val="0034222D"/>
    <w:rsid w:val="00343EFD"/>
    <w:rsid w:val="00347C36"/>
    <w:rsid w:val="00354B8A"/>
    <w:rsid w:val="00355794"/>
    <w:rsid w:val="00361752"/>
    <w:rsid w:val="00361FE6"/>
    <w:rsid w:val="00364F65"/>
    <w:rsid w:val="0036572C"/>
    <w:rsid w:val="00374981"/>
    <w:rsid w:val="00374D24"/>
    <w:rsid w:val="0037557E"/>
    <w:rsid w:val="003810D8"/>
    <w:rsid w:val="003817C5"/>
    <w:rsid w:val="003853A4"/>
    <w:rsid w:val="00390B80"/>
    <w:rsid w:val="003A01C4"/>
    <w:rsid w:val="003A1CC2"/>
    <w:rsid w:val="003B133F"/>
    <w:rsid w:val="003B5C6F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26953"/>
    <w:rsid w:val="00426B82"/>
    <w:rsid w:val="00430BEF"/>
    <w:rsid w:val="0043261E"/>
    <w:rsid w:val="00432E6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5DF"/>
    <w:rsid w:val="00471FEE"/>
    <w:rsid w:val="004726CF"/>
    <w:rsid w:val="00482BF2"/>
    <w:rsid w:val="00482FDD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C26CB"/>
    <w:rsid w:val="004D0B5A"/>
    <w:rsid w:val="004D13A3"/>
    <w:rsid w:val="004D4F4A"/>
    <w:rsid w:val="004E0F5B"/>
    <w:rsid w:val="004E687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4A5"/>
    <w:rsid w:val="00505558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56040"/>
    <w:rsid w:val="00560451"/>
    <w:rsid w:val="00562261"/>
    <w:rsid w:val="0056283E"/>
    <w:rsid w:val="00565A60"/>
    <w:rsid w:val="00566C31"/>
    <w:rsid w:val="00567274"/>
    <w:rsid w:val="0057250B"/>
    <w:rsid w:val="00572C72"/>
    <w:rsid w:val="00573780"/>
    <w:rsid w:val="00574294"/>
    <w:rsid w:val="0057472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2996"/>
    <w:rsid w:val="005F3A96"/>
    <w:rsid w:val="005F7472"/>
    <w:rsid w:val="005F7AE0"/>
    <w:rsid w:val="005F7DBE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B55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62E0"/>
    <w:rsid w:val="00657E79"/>
    <w:rsid w:val="006606F5"/>
    <w:rsid w:val="006606F9"/>
    <w:rsid w:val="0067185E"/>
    <w:rsid w:val="00671B64"/>
    <w:rsid w:val="00671D5B"/>
    <w:rsid w:val="00671FA2"/>
    <w:rsid w:val="006737EE"/>
    <w:rsid w:val="006775FA"/>
    <w:rsid w:val="006814D7"/>
    <w:rsid w:val="0068544D"/>
    <w:rsid w:val="0069409E"/>
    <w:rsid w:val="00695D08"/>
    <w:rsid w:val="00695EA0"/>
    <w:rsid w:val="006A0234"/>
    <w:rsid w:val="006A27AA"/>
    <w:rsid w:val="006A3602"/>
    <w:rsid w:val="006B1F9F"/>
    <w:rsid w:val="006C382D"/>
    <w:rsid w:val="006D1162"/>
    <w:rsid w:val="006D67EB"/>
    <w:rsid w:val="006E0A81"/>
    <w:rsid w:val="006E22B1"/>
    <w:rsid w:val="006E7F39"/>
    <w:rsid w:val="006F1F96"/>
    <w:rsid w:val="006F6DC9"/>
    <w:rsid w:val="00700337"/>
    <w:rsid w:val="00700B01"/>
    <w:rsid w:val="007022F7"/>
    <w:rsid w:val="007026C0"/>
    <w:rsid w:val="00702EBF"/>
    <w:rsid w:val="00703958"/>
    <w:rsid w:val="00713414"/>
    <w:rsid w:val="0071604F"/>
    <w:rsid w:val="007271B4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666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77D37"/>
    <w:rsid w:val="00780950"/>
    <w:rsid w:val="007809EF"/>
    <w:rsid w:val="007830F9"/>
    <w:rsid w:val="00783210"/>
    <w:rsid w:val="00783D2C"/>
    <w:rsid w:val="00791410"/>
    <w:rsid w:val="00794F29"/>
    <w:rsid w:val="00796607"/>
    <w:rsid w:val="007A0750"/>
    <w:rsid w:val="007A2250"/>
    <w:rsid w:val="007A5759"/>
    <w:rsid w:val="007B3CFE"/>
    <w:rsid w:val="007C321D"/>
    <w:rsid w:val="007C41A5"/>
    <w:rsid w:val="007C4B2B"/>
    <w:rsid w:val="007C58BE"/>
    <w:rsid w:val="007C7EEE"/>
    <w:rsid w:val="007D0537"/>
    <w:rsid w:val="007D080B"/>
    <w:rsid w:val="007D100D"/>
    <w:rsid w:val="007D1348"/>
    <w:rsid w:val="007D29D3"/>
    <w:rsid w:val="007E06DD"/>
    <w:rsid w:val="007E10AE"/>
    <w:rsid w:val="007E35BC"/>
    <w:rsid w:val="007F1ACB"/>
    <w:rsid w:val="007F4221"/>
    <w:rsid w:val="007F53F7"/>
    <w:rsid w:val="007F670A"/>
    <w:rsid w:val="007F7235"/>
    <w:rsid w:val="00800DEB"/>
    <w:rsid w:val="00803C83"/>
    <w:rsid w:val="00807C86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3A5"/>
    <w:rsid w:val="008348A3"/>
    <w:rsid w:val="00834ED6"/>
    <w:rsid w:val="00835D60"/>
    <w:rsid w:val="008366CB"/>
    <w:rsid w:val="00837F3A"/>
    <w:rsid w:val="008419B8"/>
    <w:rsid w:val="0084240F"/>
    <w:rsid w:val="00845567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30C1"/>
    <w:rsid w:val="00886B1E"/>
    <w:rsid w:val="0089094C"/>
    <w:rsid w:val="00891CD2"/>
    <w:rsid w:val="00894E46"/>
    <w:rsid w:val="008A4181"/>
    <w:rsid w:val="008A460D"/>
    <w:rsid w:val="008A4CD5"/>
    <w:rsid w:val="008A588F"/>
    <w:rsid w:val="008A6398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1B8A"/>
    <w:rsid w:val="008E3B15"/>
    <w:rsid w:val="008E3F07"/>
    <w:rsid w:val="008E413A"/>
    <w:rsid w:val="008E4B40"/>
    <w:rsid w:val="008E5F36"/>
    <w:rsid w:val="008E63EA"/>
    <w:rsid w:val="008E77AA"/>
    <w:rsid w:val="008F2757"/>
    <w:rsid w:val="008F2CF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16DC"/>
    <w:rsid w:val="00915D44"/>
    <w:rsid w:val="00917E9C"/>
    <w:rsid w:val="00922AF8"/>
    <w:rsid w:val="0092379D"/>
    <w:rsid w:val="00924E3D"/>
    <w:rsid w:val="00925160"/>
    <w:rsid w:val="0092542E"/>
    <w:rsid w:val="00925FAF"/>
    <w:rsid w:val="0093089E"/>
    <w:rsid w:val="00936100"/>
    <w:rsid w:val="0094617B"/>
    <w:rsid w:val="0094729D"/>
    <w:rsid w:val="00947CF2"/>
    <w:rsid w:val="00950F88"/>
    <w:rsid w:val="00951C56"/>
    <w:rsid w:val="00955907"/>
    <w:rsid w:val="0095599F"/>
    <w:rsid w:val="00956CF7"/>
    <w:rsid w:val="00961817"/>
    <w:rsid w:val="00963850"/>
    <w:rsid w:val="0096424B"/>
    <w:rsid w:val="009662D0"/>
    <w:rsid w:val="009716FA"/>
    <w:rsid w:val="0097247A"/>
    <w:rsid w:val="00972D1B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E7D7F"/>
    <w:rsid w:val="009F3E29"/>
    <w:rsid w:val="009F41B6"/>
    <w:rsid w:val="009F49D4"/>
    <w:rsid w:val="009F4A2B"/>
    <w:rsid w:val="009F53ED"/>
    <w:rsid w:val="00A038BE"/>
    <w:rsid w:val="00A0665A"/>
    <w:rsid w:val="00A11676"/>
    <w:rsid w:val="00A14D88"/>
    <w:rsid w:val="00A15FD8"/>
    <w:rsid w:val="00A30BA1"/>
    <w:rsid w:val="00A33690"/>
    <w:rsid w:val="00A3636B"/>
    <w:rsid w:val="00A37DEE"/>
    <w:rsid w:val="00A433C3"/>
    <w:rsid w:val="00A50806"/>
    <w:rsid w:val="00A5429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2598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A54"/>
    <w:rsid w:val="00AD1C4B"/>
    <w:rsid w:val="00AD1DD2"/>
    <w:rsid w:val="00AD2062"/>
    <w:rsid w:val="00AD2F1D"/>
    <w:rsid w:val="00AD6CF9"/>
    <w:rsid w:val="00AE1CCE"/>
    <w:rsid w:val="00AE1E46"/>
    <w:rsid w:val="00AE5177"/>
    <w:rsid w:val="00AF0989"/>
    <w:rsid w:val="00AF28C7"/>
    <w:rsid w:val="00AF785C"/>
    <w:rsid w:val="00B05DDC"/>
    <w:rsid w:val="00B1029F"/>
    <w:rsid w:val="00B10DC7"/>
    <w:rsid w:val="00B120FB"/>
    <w:rsid w:val="00B13A85"/>
    <w:rsid w:val="00B13B8A"/>
    <w:rsid w:val="00B24F05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2829"/>
    <w:rsid w:val="00B63CAF"/>
    <w:rsid w:val="00B64265"/>
    <w:rsid w:val="00B64618"/>
    <w:rsid w:val="00B66BEA"/>
    <w:rsid w:val="00B66D1F"/>
    <w:rsid w:val="00B6712A"/>
    <w:rsid w:val="00B67F76"/>
    <w:rsid w:val="00B70EFF"/>
    <w:rsid w:val="00B7558C"/>
    <w:rsid w:val="00B802D0"/>
    <w:rsid w:val="00B845DA"/>
    <w:rsid w:val="00B85794"/>
    <w:rsid w:val="00B858C4"/>
    <w:rsid w:val="00B86EAF"/>
    <w:rsid w:val="00B91516"/>
    <w:rsid w:val="00B9194F"/>
    <w:rsid w:val="00B929B0"/>
    <w:rsid w:val="00B97CCD"/>
    <w:rsid w:val="00BA003B"/>
    <w:rsid w:val="00BA2625"/>
    <w:rsid w:val="00BB05E2"/>
    <w:rsid w:val="00BB7C04"/>
    <w:rsid w:val="00BC1987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39CA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36D4E"/>
    <w:rsid w:val="00C46129"/>
    <w:rsid w:val="00C529E8"/>
    <w:rsid w:val="00C55AC7"/>
    <w:rsid w:val="00C6013F"/>
    <w:rsid w:val="00C63537"/>
    <w:rsid w:val="00C66273"/>
    <w:rsid w:val="00C6636B"/>
    <w:rsid w:val="00C70F2E"/>
    <w:rsid w:val="00C71561"/>
    <w:rsid w:val="00C71E70"/>
    <w:rsid w:val="00C75A77"/>
    <w:rsid w:val="00C77A99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1CF1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B63"/>
    <w:rsid w:val="00CF0E19"/>
    <w:rsid w:val="00D01EE5"/>
    <w:rsid w:val="00D02CE4"/>
    <w:rsid w:val="00D03CE4"/>
    <w:rsid w:val="00D04B89"/>
    <w:rsid w:val="00D05342"/>
    <w:rsid w:val="00D10355"/>
    <w:rsid w:val="00D21B4A"/>
    <w:rsid w:val="00D265AE"/>
    <w:rsid w:val="00D26926"/>
    <w:rsid w:val="00D27D9B"/>
    <w:rsid w:val="00D30402"/>
    <w:rsid w:val="00D30CF1"/>
    <w:rsid w:val="00D36232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0502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86276"/>
    <w:rsid w:val="00D92274"/>
    <w:rsid w:val="00D94339"/>
    <w:rsid w:val="00D9707F"/>
    <w:rsid w:val="00DA165A"/>
    <w:rsid w:val="00DA1F8E"/>
    <w:rsid w:val="00DA57A4"/>
    <w:rsid w:val="00DB0D07"/>
    <w:rsid w:val="00DB0ED9"/>
    <w:rsid w:val="00DB2523"/>
    <w:rsid w:val="00DB41D3"/>
    <w:rsid w:val="00DC1D74"/>
    <w:rsid w:val="00DC2D5D"/>
    <w:rsid w:val="00DC39E8"/>
    <w:rsid w:val="00DC4922"/>
    <w:rsid w:val="00DC4950"/>
    <w:rsid w:val="00DC585C"/>
    <w:rsid w:val="00DD3A4E"/>
    <w:rsid w:val="00DD51B7"/>
    <w:rsid w:val="00DD5733"/>
    <w:rsid w:val="00DD699B"/>
    <w:rsid w:val="00DD788A"/>
    <w:rsid w:val="00DE2205"/>
    <w:rsid w:val="00DE25FC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658"/>
    <w:rsid w:val="00E44E2C"/>
    <w:rsid w:val="00E473CE"/>
    <w:rsid w:val="00E47570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26"/>
    <w:rsid w:val="00E81060"/>
    <w:rsid w:val="00E83C17"/>
    <w:rsid w:val="00E87A6A"/>
    <w:rsid w:val="00E918E3"/>
    <w:rsid w:val="00E9232A"/>
    <w:rsid w:val="00E92A89"/>
    <w:rsid w:val="00EA4174"/>
    <w:rsid w:val="00EA4D1B"/>
    <w:rsid w:val="00EA7EF1"/>
    <w:rsid w:val="00EB1D11"/>
    <w:rsid w:val="00EB281B"/>
    <w:rsid w:val="00EB79FF"/>
    <w:rsid w:val="00EC1C50"/>
    <w:rsid w:val="00ED121A"/>
    <w:rsid w:val="00ED2CFE"/>
    <w:rsid w:val="00ED3D05"/>
    <w:rsid w:val="00ED5025"/>
    <w:rsid w:val="00EE072C"/>
    <w:rsid w:val="00EE1C85"/>
    <w:rsid w:val="00EE258B"/>
    <w:rsid w:val="00EE5713"/>
    <w:rsid w:val="00EE64AE"/>
    <w:rsid w:val="00EE715F"/>
    <w:rsid w:val="00EF0C6F"/>
    <w:rsid w:val="00EF7E61"/>
    <w:rsid w:val="00F05FE6"/>
    <w:rsid w:val="00F06445"/>
    <w:rsid w:val="00F06863"/>
    <w:rsid w:val="00F07114"/>
    <w:rsid w:val="00F127CF"/>
    <w:rsid w:val="00F206A7"/>
    <w:rsid w:val="00F3105E"/>
    <w:rsid w:val="00F31AAB"/>
    <w:rsid w:val="00F31B8F"/>
    <w:rsid w:val="00F31D8A"/>
    <w:rsid w:val="00F41591"/>
    <w:rsid w:val="00F41A63"/>
    <w:rsid w:val="00F45BEB"/>
    <w:rsid w:val="00F54523"/>
    <w:rsid w:val="00F5702C"/>
    <w:rsid w:val="00F626AA"/>
    <w:rsid w:val="00F70793"/>
    <w:rsid w:val="00F71120"/>
    <w:rsid w:val="00F713F5"/>
    <w:rsid w:val="00F84544"/>
    <w:rsid w:val="00F84C99"/>
    <w:rsid w:val="00F87538"/>
    <w:rsid w:val="00F9048D"/>
    <w:rsid w:val="00F90552"/>
    <w:rsid w:val="00F908B7"/>
    <w:rsid w:val="00F9465A"/>
    <w:rsid w:val="00F954FA"/>
    <w:rsid w:val="00F95B1F"/>
    <w:rsid w:val="00F96EB7"/>
    <w:rsid w:val="00FA05B2"/>
    <w:rsid w:val="00FA0889"/>
    <w:rsid w:val="00FA5ACB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4CAC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FADD6B4F-7AAB-4F31-97E8-FDF6BFF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3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P77SHHUCCQFT-1656113854-17248</_dlc_DocId>
    <_dlc_DocIdUrl xmlns="b8cb3cbd-ce5c-4a72-9da4-9013f91c5903">
      <Url>http://workplaces/sites/ctg/a/_layouts/DocIdRedir.aspx?ID=P77SHHUCCQFT-1656113854-17248</Url>
      <Description>P77SHHUCCQFT-1656113854-17248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D004A7-DA13-4287-B433-28DBC689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62bda6d9-15dd-4797-9609-2d5e8913862c"/>
    <ds:schemaRef ds:uri="b8cb3cbd-ce5c-4a72-9da4-9013f91c590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70C9E63-7E63-46E9-9E04-220CF9A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E724577D</Template>
  <TotalTime>0</TotalTime>
  <Pages>7</Pages>
  <Words>1192</Words>
  <Characters>6338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7515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jcollins@windsorpark.staffs.sch.uk</cp:lastModifiedBy>
  <cp:revision>2</cp:revision>
  <cp:lastPrinted>2016-08-10T08:26:00Z</cp:lastPrinted>
  <dcterms:created xsi:type="dcterms:W3CDTF">2020-03-06T16:00:00Z</dcterms:created>
  <dcterms:modified xsi:type="dcterms:W3CDTF">2020-03-06T16:00:00Z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0x0101007F645D6FBA204A029FECB8BFC6578C39005279853530254253B886E13194843F8A003AA4A7828D8545A79A935680158123500090692E784D5B8245A9BCC793BA2EE1C9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883a7b46-cb55-417b-9f91-92c86f7101db</vt:lpwstr>
  </property>
  <property fmtid="{D5CDD505-2E9C-101B-9397-08002B2CF9AE}" pid="6" name="IWPOrganisationalUnit">
    <vt:lpwstr>56;#NCTL|50b03fc4-9596-44c0-8ddf-78c55856c7ae</vt:lpwstr>
  </property>
  <property fmtid="{D5CDD505-2E9C-101B-9397-08002B2CF9AE}" pid="7" name="IWPOwner">
    <vt:lpwstr>55;#NCTA|8a55f59b-7d94-44dd-a344-986d47acf947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